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5FAD4A4">
      <w:pPr>
        <w:jc w:val="center"/>
        <w:rPr>
          <w:rFonts w:hint="eastAsia" w:eastAsia="黑体" w:cs="黑体"/>
          <w:bCs/>
          <w:sz w:val="28"/>
          <w:szCs w:val="28"/>
        </w:rPr>
      </w:pPr>
      <w:r>
        <w:rPr>
          <w:rFonts w:hint="eastAsia" w:eastAsia="黑体" w:cs="黑体"/>
          <w:bCs/>
          <w:sz w:val="28"/>
          <w:szCs w:val="28"/>
        </w:rPr>
        <w:t>谷胱甘肽S-转移酶</w:t>
      </w:r>
      <w:r>
        <w:rPr>
          <w:rFonts w:eastAsia="黑体"/>
          <w:bCs/>
          <w:sz w:val="28"/>
          <w:szCs w:val="28"/>
        </w:rPr>
        <w:t>（</w:t>
      </w:r>
      <w:r>
        <w:rPr>
          <w:rFonts w:hint="eastAsia" w:eastAsia="黑体"/>
          <w:bCs/>
          <w:sz w:val="28"/>
          <w:szCs w:val="28"/>
        </w:rPr>
        <w:t>glutathione S-</w:t>
      </w:r>
      <w:bookmarkStart w:id="0" w:name="_GoBack"/>
      <w:bookmarkEnd w:id="0"/>
      <w:r>
        <w:rPr>
          <w:rFonts w:hint="eastAsia" w:eastAsia="黑体"/>
          <w:bCs/>
          <w:sz w:val="28"/>
          <w:szCs w:val="28"/>
        </w:rPr>
        <w:t>transferase，GST</w:t>
      </w:r>
      <w:r>
        <w:rPr>
          <w:rFonts w:eastAsia="黑体"/>
          <w:bCs/>
          <w:sz w:val="28"/>
          <w:szCs w:val="28"/>
        </w:rPr>
        <w:t>）</w:t>
      </w:r>
      <w:r>
        <w:rPr>
          <w:rFonts w:hint="eastAsia" w:eastAsia="黑体" w:cs="黑体"/>
          <w:bCs/>
          <w:sz w:val="28"/>
          <w:szCs w:val="28"/>
        </w:rPr>
        <w:t>试剂盒说明书</w:t>
      </w:r>
    </w:p>
    <w:p w14:paraId="10FBA47F">
      <w:pPr>
        <w:jc w:val="center"/>
        <w:rPr>
          <w:rFonts w:hint="eastAsia" w:eastAsia="黑体" w:cs="黑体"/>
          <w:bCs/>
          <w:sz w:val="28"/>
          <w:szCs w:val="28"/>
        </w:rPr>
      </w:pPr>
      <w:r>
        <w:rPr>
          <w:rFonts w:hint="eastAsia" w:eastAsia="黑体" w:cs="黑体"/>
          <w:bCs/>
          <w:sz w:val="24"/>
          <w:szCs w:val="24"/>
        </w:rPr>
        <w:t>（货号：XM-</w:t>
      </w:r>
      <w:r>
        <w:rPr>
          <w:rFonts w:hint="eastAsia" w:eastAsia="黑体" w:cs="黑体"/>
          <w:bCs/>
          <w:sz w:val="24"/>
          <w:szCs w:val="24"/>
          <w:lang w:val="en-US" w:eastAsia="zh-CN"/>
        </w:rPr>
        <w:t>W</w:t>
      </w:r>
      <w:r>
        <w:rPr>
          <w:rFonts w:hint="eastAsia" w:eastAsia="黑体" w:cs="黑体"/>
          <w:bCs/>
          <w:sz w:val="24"/>
          <w:szCs w:val="24"/>
        </w:rPr>
        <w:t>-AS008   微板法96样）</w:t>
      </w:r>
    </w:p>
    <w:p w14:paraId="03663DEC">
      <w:pPr>
        <w:rPr>
          <w:rFonts w:hint="eastAsia" w:eastAsia="黑体"/>
          <w:sz w:val="24"/>
          <w:szCs w:val="24"/>
        </w:rPr>
      </w:pPr>
      <w:r>
        <w:rPr>
          <w:rFonts w:hint="eastAsia" w:ascii="黑体" w:eastAsia="黑体"/>
          <w:sz w:val="24"/>
          <w:szCs w:val="24"/>
        </w:rPr>
        <w:t>一、产品简介：</w:t>
      </w:r>
    </w:p>
    <w:p w14:paraId="7A2D33C6">
      <w:pPr>
        <w:ind w:left="210" w:leftChars="100" w:firstLine="315" w:firstLineChars="150"/>
        <w:rPr>
          <w:rFonts w:hint="eastAsia"/>
          <w:bCs/>
          <w:szCs w:val="21"/>
        </w:rPr>
      </w:pPr>
      <w:r>
        <w:rPr>
          <w:rFonts w:hint="eastAsia"/>
          <w:bCs/>
          <w:szCs w:val="21"/>
        </w:rPr>
        <w:t>谷胱甘肽转移酶（GST; EC 2.5.1.18）</w:t>
      </w:r>
      <w:r>
        <w:rPr>
          <w:bCs/>
          <w:szCs w:val="21"/>
        </w:rPr>
        <w:t>是一种具有多种生理功能的蛋白质家族，</w:t>
      </w:r>
      <w:r>
        <w:rPr>
          <w:rFonts w:hint="eastAsia"/>
          <w:bCs/>
          <w:szCs w:val="21"/>
        </w:rPr>
        <w:t>清除潜在毒性化合物，包括由氧化应激产生的物质，是细胞防御机制的一部分。</w:t>
      </w:r>
    </w:p>
    <w:p w14:paraId="3D3D8A39">
      <w:pPr>
        <w:ind w:left="210" w:leftChars="100" w:firstLine="315" w:firstLineChars="150"/>
        <w:rPr>
          <w:bCs/>
          <w:szCs w:val="21"/>
        </w:rPr>
      </w:pPr>
      <w:r>
        <w:rPr>
          <w:bCs/>
          <w:szCs w:val="21"/>
        </w:rPr>
        <w:t>GST催化GSH与CDNB结合，其结合产物的光吸收峰波长为340nm；通过测定340nm波长处吸光度上升速率，即可计算出GST活性。</w:t>
      </w:r>
    </w:p>
    <w:p w14:paraId="49B333FE">
      <w:pPr>
        <w:rPr>
          <w:rFonts w:hint="eastAsia" w:ascii="黑体" w:eastAsia="黑体"/>
          <w:sz w:val="24"/>
          <w:szCs w:val="24"/>
        </w:rPr>
      </w:pPr>
      <w:r>
        <w:rPr>
          <w:rFonts w:hint="eastAsia" w:ascii="黑体" w:eastAsia="黑体"/>
          <w:sz w:val="24"/>
          <w:szCs w:val="24"/>
        </w:rPr>
        <w:t>二、试剂盒组成和配制：</w:t>
      </w:r>
    </w:p>
    <w:tbl>
      <w:tblPr>
        <w:tblStyle w:val="7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2"/>
        <w:gridCol w:w="1842"/>
        <w:gridCol w:w="1276"/>
        <w:gridCol w:w="2818"/>
      </w:tblGrid>
      <w:tr w14:paraId="3A9727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122" w:type="dxa"/>
            <w:noWrap w:val="0"/>
            <w:vAlign w:val="center"/>
          </w:tcPr>
          <w:p w14:paraId="084E41DF">
            <w:pPr>
              <w:jc w:val="center"/>
            </w:pPr>
            <w:r>
              <w:rPr>
                <w:rFonts w:hint="eastAsia"/>
              </w:rPr>
              <w:t>试剂名称</w:t>
            </w:r>
          </w:p>
        </w:tc>
        <w:tc>
          <w:tcPr>
            <w:tcW w:w="1842" w:type="dxa"/>
            <w:noWrap w:val="0"/>
            <w:vAlign w:val="center"/>
          </w:tcPr>
          <w:p w14:paraId="7880B3A4">
            <w:pPr>
              <w:jc w:val="center"/>
            </w:pPr>
            <w:r>
              <w:rPr>
                <w:rFonts w:hint="eastAsia"/>
              </w:rPr>
              <w:t>规格</w:t>
            </w:r>
          </w:p>
        </w:tc>
        <w:tc>
          <w:tcPr>
            <w:tcW w:w="1276" w:type="dxa"/>
            <w:noWrap w:val="0"/>
            <w:vAlign w:val="center"/>
          </w:tcPr>
          <w:p w14:paraId="13952E29">
            <w:pPr>
              <w:jc w:val="center"/>
            </w:pPr>
            <w:r>
              <w:rPr>
                <w:rFonts w:hint="eastAsia"/>
              </w:rPr>
              <w:t>保存要求</w:t>
            </w:r>
          </w:p>
        </w:tc>
        <w:tc>
          <w:tcPr>
            <w:tcW w:w="2818" w:type="dxa"/>
            <w:noWrap w:val="0"/>
            <w:vAlign w:val="top"/>
          </w:tcPr>
          <w:p w14:paraId="2887C5F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备注</w:t>
            </w:r>
          </w:p>
        </w:tc>
      </w:tr>
      <w:tr w14:paraId="0EF106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  <w:jc w:val="center"/>
        </w:trPr>
        <w:tc>
          <w:tcPr>
            <w:tcW w:w="1122" w:type="dxa"/>
            <w:noWrap w:val="0"/>
            <w:vAlign w:val="center"/>
          </w:tcPr>
          <w:p w14:paraId="3E5BCBF4">
            <w:pPr>
              <w:jc w:val="center"/>
            </w:pPr>
            <w:r>
              <w:rPr>
                <w:rFonts w:hint="eastAsia"/>
              </w:rPr>
              <w:t>提取液</w:t>
            </w:r>
          </w:p>
        </w:tc>
        <w:tc>
          <w:tcPr>
            <w:tcW w:w="1842" w:type="dxa"/>
            <w:noWrap w:val="0"/>
            <w:vAlign w:val="center"/>
          </w:tcPr>
          <w:p w14:paraId="37D0019D">
            <w:pPr>
              <w:jc w:val="center"/>
            </w:pPr>
            <w:r>
              <w:t>液体</w:t>
            </w:r>
            <w:r>
              <w:rPr>
                <w:rFonts w:hint="eastAsia"/>
              </w:rPr>
              <w:t>125</w:t>
            </w:r>
            <w:r>
              <w:t>mL×</w:t>
            </w:r>
            <w:r>
              <w:rPr>
                <w:rFonts w:hint="eastAsia"/>
              </w:rPr>
              <w:t>1</w:t>
            </w:r>
            <w:r>
              <w:t>瓶</w:t>
            </w:r>
          </w:p>
        </w:tc>
        <w:tc>
          <w:tcPr>
            <w:tcW w:w="1276" w:type="dxa"/>
            <w:noWrap w:val="0"/>
            <w:vAlign w:val="center"/>
          </w:tcPr>
          <w:p w14:paraId="638EB3E6">
            <w:pPr>
              <w:jc w:val="center"/>
            </w:pPr>
            <w:r>
              <w:t>4</w:t>
            </w:r>
            <w:r>
              <w:rPr>
                <w:rFonts w:ascii="宋体" w:hAnsi="宋体"/>
              </w:rPr>
              <w:t>℃</w:t>
            </w:r>
            <w:r>
              <w:t>保存</w:t>
            </w:r>
          </w:p>
        </w:tc>
        <w:tc>
          <w:tcPr>
            <w:tcW w:w="2818" w:type="dxa"/>
            <w:noWrap w:val="0"/>
            <w:vAlign w:val="top"/>
          </w:tcPr>
          <w:p w14:paraId="3F38A04E">
            <w:pPr>
              <w:jc w:val="center"/>
            </w:pPr>
          </w:p>
        </w:tc>
      </w:tr>
      <w:tr w14:paraId="41D557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  <w:jc w:val="center"/>
        </w:trPr>
        <w:tc>
          <w:tcPr>
            <w:tcW w:w="1122" w:type="dxa"/>
            <w:noWrap w:val="0"/>
            <w:vAlign w:val="center"/>
          </w:tcPr>
          <w:p w14:paraId="50F41D41">
            <w:pPr>
              <w:jc w:val="center"/>
            </w:pPr>
            <w:r>
              <w:rPr>
                <w:rFonts w:hint="eastAsia"/>
              </w:rPr>
              <w:t>试剂一</w:t>
            </w:r>
          </w:p>
        </w:tc>
        <w:tc>
          <w:tcPr>
            <w:tcW w:w="1842" w:type="dxa"/>
            <w:noWrap w:val="0"/>
            <w:vAlign w:val="center"/>
          </w:tcPr>
          <w:p w14:paraId="41A38960">
            <w:pPr>
              <w:jc w:val="center"/>
            </w:pPr>
            <w:r>
              <w:t>粉体</w:t>
            </w:r>
            <w:r>
              <w:rPr>
                <w:rFonts w:hint="eastAsia"/>
              </w:rPr>
              <w:t>3</w:t>
            </w:r>
            <w:r>
              <w:t>瓶</w:t>
            </w:r>
          </w:p>
        </w:tc>
        <w:tc>
          <w:tcPr>
            <w:tcW w:w="1276" w:type="dxa"/>
            <w:noWrap w:val="0"/>
            <w:vAlign w:val="center"/>
          </w:tcPr>
          <w:p w14:paraId="46A732A9">
            <w:pPr>
              <w:jc w:val="center"/>
            </w:pPr>
            <w:r>
              <w:rPr>
                <w:rFonts w:hint="eastAsia" w:ascii="宋体" w:hAnsi="宋体"/>
              </w:rPr>
              <w:t>-20</w:t>
            </w:r>
            <w:r>
              <w:rPr>
                <w:rFonts w:ascii="宋体" w:hAnsi="宋体"/>
              </w:rPr>
              <w:t>℃</w:t>
            </w:r>
            <w:r>
              <w:t>保存</w:t>
            </w:r>
          </w:p>
        </w:tc>
        <w:tc>
          <w:tcPr>
            <w:tcW w:w="2818" w:type="dxa"/>
            <w:noWrap w:val="0"/>
            <w:vAlign w:val="top"/>
          </w:tcPr>
          <w:p w14:paraId="3B9A86BA">
            <w:pPr>
              <w:rPr>
                <w:bCs/>
                <w:szCs w:val="21"/>
              </w:rPr>
            </w:pPr>
            <w:r>
              <w:rPr>
                <w:bCs/>
                <w:sz w:val="18"/>
                <w:szCs w:val="18"/>
              </w:rPr>
              <w:t>每瓶临用前甩几下使粉体落入底部</w:t>
            </w:r>
            <w:r>
              <w:rPr>
                <w:rFonts w:hint="eastAsia"/>
                <w:bCs/>
                <w:sz w:val="18"/>
                <w:szCs w:val="18"/>
              </w:rPr>
              <w:t>，</w:t>
            </w:r>
            <w:r>
              <w:rPr>
                <w:bCs/>
                <w:sz w:val="18"/>
                <w:szCs w:val="18"/>
              </w:rPr>
              <w:t>外加</w:t>
            </w:r>
            <w:r>
              <w:rPr>
                <w:rFonts w:hint="eastAsia"/>
                <w:bCs/>
                <w:sz w:val="18"/>
                <w:szCs w:val="18"/>
              </w:rPr>
              <w:t>4mL提取液溶解，可分装保存至-20</w:t>
            </w:r>
            <w:r>
              <w:rPr>
                <w:bCs/>
                <w:sz w:val="18"/>
                <w:szCs w:val="18"/>
              </w:rPr>
              <w:t>℃</w:t>
            </w:r>
            <w:r>
              <w:rPr>
                <w:rFonts w:hint="eastAsia"/>
                <w:bCs/>
                <w:sz w:val="18"/>
                <w:szCs w:val="18"/>
              </w:rPr>
              <w:t>，</w:t>
            </w:r>
            <w:r>
              <w:rPr>
                <w:bCs/>
                <w:sz w:val="18"/>
                <w:szCs w:val="18"/>
              </w:rPr>
              <w:t>一个月内用完</w:t>
            </w:r>
            <w:r>
              <w:rPr>
                <w:rFonts w:hint="eastAsia"/>
                <w:bCs/>
                <w:sz w:val="18"/>
                <w:szCs w:val="18"/>
              </w:rPr>
              <w:t>。</w:t>
            </w:r>
          </w:p>
        </w:tc>
      </w:tr>
      <w:tr w14:paraId="6880E5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  <w:jc w:val="center"/>
        </w:trPr>
        <w:tc>
          <w:tcPr>
            <w:tcW w:w="1122" w:type="dxa"/>
            <w:noWrap w:val="0"/>
            <w:vAlign w:val="center"/>
          </w:tcPr>
          <w:p w14:paraId="1FE14D11">
            <w:pPr>
              <w:jc w:val="center"/>
            </w:pPr>
            <w:r>
              <w:rPr>
                <w:rFonts w:hint="eastAsia"/>
              </w:rPr>
              <w:t>试剂二</w:t>
            </w:r>
          </w:p>
        </w:tc>
        <w:tc>
          <w:tcPr>
            <w:tcW w:w="1842" w:type="dxa"/>
            <w:noWrap w:val="0"/>
            <w:vAlign w:val="center"/>
          </w:tcPr>
          <w:p w14:paraId="46530EBA">
            <w:pPr>
              <w:jc w:val="center"/>
            </w:pPr>
            <w:r>
              <w:rPr>
                <w:rFonts w:hint="eastAsia"/>
              </w:rPr>
              <w:t>液体1.5</w:t>
            </w:r>
            <w:r>
              <w:t>mL×</w:t>
            </w:r>
            <w:r>
              <w:rPr>
                <w:rFonts w:hint="eastAsia"/>
              </w:rPr>
              <w:t>1支</w:t>
            </w:r>
          </w:p>
        </w:tc>
        <w:tc>
          <w:tcPr>
            <w:tcW w:w="1276" w:type="dxa"/>
            <w:noWrap w:val="0"/>
            <w:vAlign w:val="center"/>
          </w:tcPr>
          <w:p w14:paraId="423E5BCE">
            <w:pPr>
              <w:jc w:val="center"/>
            </w:pPr>
            <w:r>
              <w:t>4</w:t>
            </w:r>
            <w:r>
              <w:rPr>
                <w:rFonts w:ascii="宋体" w:hAnsi="宋体"/>
              </w:rPr>
              <w:t>℃</w:t>
            </w:r>
            <w:r>
              <w:t>保存</w:t>
            </w:r>
          </w:p>
        </w:tc>
        <w:tc>
          <w:tcPr>
            <w:tcW w:w="2818" w:type="dxa"/>
            <w:noWrap w:val="0"/>
            <w:vAlign w:val="top"/>
          </w:tcPr>
          <w:p w14:paraId="6115F113">
            <w:pPr>
              <w:jc w:val="center"/>
            </w:pPr>
          </w:p>
        </w:tc>
      </w:tr>
    </w:tbl>
    <w:p w14:paraId="77113133">
      <w:pPr>
        <w:rPr>
          <w:rFonts w:eastAsia="黑体"/>
          <w:sz w:val="18"/>
          <w:szCs w:val="18"/>
        </w:rPr>
      </w:pPr>
      <w:r>
        <w:rPr>
          <w:rFonts w:hint="eastAsia" w:ascii="黑体" w:eastAsia="黑体"/>
          <w:sz w:val="24"/>
          <w:szCs w:val="24"/>
        </w:rPr>
        <w:t xml:space="preserve">    </w:t>
      </w:r>
      <w:r>
        <w:rPr>
          <w:rFonts w:eastAsia="黑体"/>
          <w:szCs w:val="21"/>
        </w:rPr>
        <w:t xml:space="preserve"> </w:t>
      </w:r>
      <w:r>
        <w:rPr>
          <w:rFonts w:eastAsia="黑体"/>
          <w:sz w:val="18"/>
          <w:szCs w:val="18"/>
        </w:rPr>
        <w:t>【注】：</w:t>
      </w:r>
      <w:r>
        <w:rPr>
          <w:rFonts w:eastAsia="黑体"/>
          <w:b/>
          <w:sz w:val="18"/>
          <w:szCs w:val="18"/>
        </w:rPr>
        <w:t>反应mix的制备（现配现用）</w:t>
      </w:r>
      <w:r>
        <w:rPr>
          <w:rFonts w:eastAsia="黑体"/>
          <w:sz w:val="18"/>
          <w:szCs w:val="18"/>
        </w:rPr>
        <w:t>：按照试剂一：试剂二：提取液=10:1:9的比例混匀。</w:t>
      </w:r>
    </w:p>
    <w:p w14:paraId="3550AA31">
      <w:pPr>
        <w:rPr>
          <w:rFonts w:ascii="黑体" w:eastAsia="黑体"/>
          <w:sz w:val="24"/>
          <w:szCs w:val="24"/>
        </w:rPr>
      </w:pPr>
      <w:r>
        <w:rPr>
          <w:rFonts w:hint="eastAsia" w:ascii="黑体" w:eastAsia="黑体"/>
          <w:sz w:val="24"/>
          <w:szCs w:val="24"/>
        </w:rPr>
        <w:t>三、</w:t>
      </w:r>
      <w:r>
        <w:rPr>
          <w:rFonts w:ascii="黑体" w:eastAsia="黑体"/>
          <w:sz w:val="24"/>
          <w:szCs w:val="24"/>
        </w:rPr>
        <w:t>所需仪器和</w:t>
      </w:r>
      <w:r>
        <w:rPr>
          <w:rFonts w:hint="eastAsia" w:ascii="黑体" w:eastAsia="黑体"/>
          <w:sz w:val="24"/>
          <w:szCs w:val="24"/>
        </w:rPr>
        <w:t>用品</w:t>
      </w:r>
      <w:r>
        <w:rPr>
          <w:rFonts w:ascii="黑体" w:eastAsia="黑体"/>
          <w:sz w:val="24"/>
          <w:szCs w:val="24"/>
        </w:rPr>
        <w:t>：</w:t>
      </w:r>
    </w:p>
    <w:p w14:paraId="176C2F00">
      <w:pPr>
        <w:ind w:firstLine="420" w:firstLineChars="200"/>
        <w:rPr>
          <w:bCs/>
          <w:szCs w:val="21"/>
        </w:rPr>
      </w:pPr>
      <w:r>
        <w:rPr>
          <w:rFonts w:hint="eastAsia"/>
          <w:bCs/>
          <w:szCs w:val="21"/>
        </w:rPr>
        <w:t>酶标仪、96孔板、</w:t>
      </w:r>
      <w:r>
        <w:rPr>
          <w:bCs/>
          <w:szCs w:val="21"/>
        </w:rPr>
        <w:t>低温离心机、水浴锅、可调</w:t>
      </w:r>
      <w:r>
        <w:rPr>
          <w:rFonts w:hint="eastAsia"/>
          <w:bCs/>
          <w:szCs w:val="21"/>
        </w:rPr>
        <w:t>式</w:t>
      </w:r>
      <w:r>
        <w:rPr>
          <w:bCs/>
          <w:szCs w:val="21"/>
        </w:rPr>
        <w:t>移液器、蒸馏水。</w:t>
      </w:r>
    </w:p>
    <w:p w14:paraId="67EA47F4">
      <w:pPr>
        <w:numPr>
          <w:ilvl w:val="0"/>
          <w:numId w:val="1"/>
        </w:numPr>
        <w:rPr>
          <w:rFonts w:hint="eastAsia" w:ascii="黑体" w:eastAsia="黑体"/>
          <w:sz w:val="24"/>
          <w:szCs w:val="24"/>
        </w:rPr>
      </w:pPr>
      <w:r>
        <w:rPr>
          <w:rFonts w:ascii="黑体" w:eastAsia="黑体"/>
          <w:sz w:val="24"/>
          <w:szCs w:val="24"/>
        </w:rPr>
        <w:t>谷胱甘肽S-转移酶（GST）</w:t>
      </w:r>
      <w:r>
        <w:rPr>
          <w:rFonts w:hint="eastAsia" w:ascii="黑体" w:eastAsia="黑体"/>
          <w:sz w:val="24"/>
          <w:szCs w:val="24"/>
        </w:rPr>
        <w:t>活性检测：</w:t>
      </w:r>
    </w:p>
    <w:p w14:paraId="0B40F370">
      <w:pPr>
        <w:ind w:left="525" w:leftChars="250"/>
        <w:rPr>
          <w:rFonts w:hint="eastAsia" w:eastAsia="黑体"/>
          <w:bCs/>
          <w:szCs w:val="21"/>
        </w:rPr>
      </w:pPr>
      <w:r>
        <w:rPr>
          <w:rFonts w:hint="eastAsia" w:eastAsia="黑体"/>
          <w:bCs/>
          <w:szCs w:val="21"/>
        </w:rPr>
        <w:t>建议正式实验前选取2个样本做预测定，了解本批样品情况，熟悉实验流程，避免实验样本和试剂浪费！</w:t>
      </w:r>
    </w:p>
    <w:p w14:paraId="3CAC59C5">
      <w:pPr>
        <w:ind w:firstLine="240" w:firstLineChars="100"/>
        <w:rPr>
          <w:rFonts w:ascii="黑体" w:eastAsia="黑体"/>
          <w:sz w:val="24"/>
          <w:szCs w:val="24"/>
        </w:rPr>
      </w:pPr>
      <w:r>
        <w:rPr>
          <w:rFonts w:hint="eastAsia" w:ascii="黑体" w:eastAsia="黑体"/>
          <w:sz w:val="24"/>
          <w:szCs w:val="24"/>
        </w:rPr>
        <w:t>1、样本制备</w:t>
      </w:r>
      <w:r>
        <w:rPr>
          <w:rFonts w:ascii="黑体" w:eastAsia="黑体"/>
          <w:sz w:val="24"/>
          <w:szCs w:val="24"/>
        </w:rPr>
        <w:t>：</w:t>
      </w:r>
    </w:p>
    <w:p w14:paraId="5354760E">
      <w:pPr>
        <w:ind w:firstLine="315" w:firstLineChars="150"/>
        <w:rPr>
          <w:rFonts w:hAnsi="宋体"/>
        </w:rPr>
      </w:pPr>
      <w:r>
        <w:rPr>
          <w:rFonts w:hint="eastAsia"/>
        </w:rPr>
        <w:t xml:space="preserve">① </w:t>
      </w:r>
      <w:r>
        <w:rPr>
          <w:rFonts w:hAnsi="宋体"/>
        </w:rPr>
        <w:t>组织样</w:t>
      </w:r>
      <w:r>
        <w:rPr>
          <w:rFonts w:hint="eastAsia" w:hAnsi="宋体"/>
        </w:rPr>
        <w:t>本：</w:t>
      </w:r>
    </w:p>
    <w:p w14:paraId="42D4AF07">
      <w:pPr>
        <w:ind w:left="315" w:leftChars="150" w:firstLine="210" w:firstLineChars="100"/>
        <w:rPr>
          <w:rFonts w:hAnsi="宋体"/>
        </w:rPr>
      </w:pPr>
      <w:r>
        <w:rPr>
          <w:rFonts w:hAnsi="宋体"/>
        </w:rPr>
        <w:t>称取约</w:t>
      </w:r>
      <w:r>
        <w:t>0.1g</w:t>
      </w:r>
      <w:r>
        <w:rPr>
          <w:rFonts w:hAnsi="宋体"/>
        </w:rPr>
        <w:t>组织</w:t>
      </w:r>
      <w:r>
        <w:rPr>
          <w:rFonts w:hint="eastAsia" w:hAnsi="宋体"/>
        </w:rPr>
        <w:t>(水分充足的样本可取0.2g)</w:t>
      </w:r>
      <w:r>
        <w:rPr>
          <w:rFonts w:hAnsi="宋体"/>
        </w:rPr>
        <w:t>，加入</w:t>
      </w:r>
      <w:r>
        <w:t>1mL</w:t>
      </w:r>
      <w:r>
        <w:rPr>
          <w:rFonts w:hint="eastAsia" w:hAnsi="宋体"/>
        </w:rPr>
        <w:t>提取液，</w:t>
      </w:r>
      <w:r>
        <w:rPr>
          <w:rFonts w:hAnsi="宋体"/>
        </w:rPr>
        <w:t>进行冰浴匀浆。</w:t>
      </w:r>
      <w:r>
        <w:rPr>
          <w:rFonts w:hint="eastAsia"/>
        </w:rPr>
        <w:t>12</w:t>
      </w:r>
      <w:r>
        <w:t>000</w:t>
      </w:r>
      <w:r>
        <w:rPr>
          <w:rFonts w:hint="eastAsia"/>
        </w:rPr>
        <w:t>rpm</w:t>
      </w:r>
      <w:r>
        <w:t xml:space="preserve"> 4</w:t>
      </w:r>
      <w:r>
        <w:rPr>
          <w:rFonts w:ascii="宋体" w:hAnsi="宋体"/>
        </w:rPr>
        <w:t>℃</w:t>
      </w:r>
      <w:r>
        <w:rPr>
          <w:rFonts w:hAnsi="宋体"/>
        </w:rPr>
        <w:t>离心</w:t>
      </w:r>
      <w:r>
        <w:t>1</w:t>
      </w:r>
      <w:r>
        <w:rPr>
          <w:rFonts w:hint="eastAsia"/>
        </w:rPr>
        <w:t>5</w:t>
      </w:r>
      <w:r>
        <w:t>min</w:t>
      </w:r>
      <w:r>
        <w:rPr>
          <w:rFonts w:hAnsi="宋体"/>
        </w:rPr>
        <w:t>，取上清，置冰上待测。</w:t>
      </w:r>
    </w:p>
    <w:p w14:paraId="68E20AD9">
      <w:pPr>
        <w:ind w:firstLine="360" w:firstLineChars="200"/>
        <w:rPr>
          <w:rFonts w:eastAsia="黑体"/>
          <w:sz w:val="18"/>
          <w:szCs w:val="18"/>
        </w:rPr>
      </w:pPr>
      <w:r>
        <w:rPr>
          <w:rFonts w:hint="eastAsia" w:eastAsia="黑体"/>
          <w:sz w:val="18"/>
          <w:szCs w:val="18"/>
        </w:rPr>
        <w:t>【注】：若增加样本量，可</w:t>
      </w:r>
      <w:r>
        <w:rPr>
          <w:rFonts w:eastAsia="黑体"/>
          <w:sz w:val="18"/>
          <w:szCs w:val="18"/>
        </w:rPr>
        <w:t>按照组织质量（g）：</w:t>
      </w:r>
      <w:r>
        <w:rPr>
          <w:rFonts w:hint="eastAsia" w:eastAsia="黑体"/>
          <w:sz w:val="18"/>
          <w:szCs w:val="18"/>
        </w:rPr>
        <w:t>提取液</w:t>
      </w:r>
      <w:r>
        <w:rPr>
          <w:rFonts w:eastAsia="黑体"/>
          <w:sz w:val="18"/>
          <w:szCs w:val="18"/>
        </w:rPr>
        <w:t>体积(mL)为1：5~10的比例进行提取</w:t>
      </w:r>
    </w:p>
    <w:p w14:paraId="565DD7B2">
      <w:pPr>
        <w:ind w:firstLine="210" w:firstLineChars="100"/>
      </w:pPr>
      <w:r>
        <w:rPr>
          <w:rFonts w:hint="eastAsia" w:hAnsi="宋体"/>
        </w:rPr>
        <w:t xml:space="preserve">② </w:t>
      </w:r>
      <w:r>
        <w:rPr>
          <w:rFonts w:hAnsi="宋体"/>
        </w:rPr>
        <w:t>细菌</w:t>
      </w:r>
      <w:r>
        <w:rPr>
          <w:rFonts w:hint="eastAsia" w:hAnsi="宋体"/>
        </w:rPr>
        <w:t>/</w:t>
      </w:r>
      <w:r>
        <w:rPr>
          <w:rFonts w:hAnsi="宋体"/>
        </w:rPr>
        <w:t>细胞</w:t>
      </w:r>
      <w:r>
        <w:rPr>
          <w:rFonts w:hint="eastAsia" w:hAnsi="宋体"/>
        </w:rPr>
        <w:t>样本</w:t>
      </w:r>
      <w:r>
        <w:rPr>
          <w:rFonts w:hAnsi="宋体"/>
        </w:rPr>
        <w:t>：</w:t>
      </w:r>
    </w:p>
    <w:p w14:paraId="083B8F5D">
      <w:pPr>
        <w:ind w:left="420" w:leftChars="200" w:firstLine="210" w:firstLineChars="100"/>
        <w:rPr>
          <w:rFonts w:hint="eastAsia"/>
        </w:rPr>
      </w:pPr>
      <w:r>
        <w:rPr>
          <w:rFonts w:hAnsi="宋体"/>
        </w:rPr>
        <w:t>先收集细菌或细胞到离心管内，离心后弃上清；</w:t>
      </w:r>
      <w:r>
        <w:rPr>
          <w:rFonts w:hint="eastAsia" w:hAnsi="宋体"/>
        </w:rPr>
        <w:t>取</w:t>
      </w:r>
      <w:r>
        <w:t>500</w:t>
      </w:r>
      <w:r>
        <w:rPr>
          <w:rFonts w:hAnsi="宋体"/>
        </w:rPr>
        <w:t>万细菌或细胞加入</w:t>
      </w:r>
      <w:r>
        <w:t>1mL</w:t>
      </w:r>
      <w:r>
        <w:rPr>
          <w:rFonts w:hint="eastAsia" w:hAnsi="宋体"/>
        </w:rPr>
        <w:t>提取液；</w:t>
      </w:r>
      <w:r>
        <w:rPr>
          <w:rFonts w:hint="eastAsia"/>
        </w:rPr>
        <w:t>冰浴</w:t>
      </w:r>
      <w:r>
        <w:rPr>
          <w:rFonts w:hAnsi="宋体"/>
        </w:rPr>
        <w:t>超声波破碎细菌或细胞（</w:t>
      </w:r>
      <w:r>
        <w:t>功率300w，超声3秒，间隔7秒，总时间3min</w:t>
      </w:r>
      <w:r>
        <w:rPr>
          <w:rFonts w:hAnsi="宋体"/>
        </w:rPr>
        <w:t>）；</w:t>
      </w:r>
      <w:r>
        <w:rPr>
          <w:rFonts w:hint="eastAsia"/>
        </w:rPr>
        <w:t>12</w:t>
      </w:r>
      <w:r>
        <w:t>000</w:t>
      </w:r>
      <w:r>
        <w:rPr>
          <w:rFonts w:hint="eastAsia"/>
        </w:rPr>
        <w:t>rpm</w:t>
      </w:r>
      <w:r>
        <w:t xml:space="preserve"> 4</w:t>
      </w:r>
      <w:r>
        <w:rPr>
          <w:rFonts w:ascii="宋体" w:hAnsi="宋体"/>
        </w:rPr>
        <w:t>℃</w:t>
      </w:r>
      <w:r>
        <w:rPr>
          <w:rFonts w:hAnsi="宋体"/>
        </w:rPr>
        <w:t>离心</w:t>
      </w:r>
      <w:r>
        <w:t>1</w:t>
      </w:r>
      <w:r>
        <w:rPr>
          <w:rFonts w:hint="eastAsia"/>
        </w:rPr>
        <w:t>5</w:t>
      </w:r>
      <w:r>
        <w:t>min</w:t>
      </w:r>
      <w:r>
        <w:rPr>
          <w:rFonts w:hAnsi="宋体"/>
        </w:rPr>
        <w:t>，取上清，置冰上待测。</w:t>
      </w:r>
      <w:r>
        <w:rPr>
          <w:rFonts w:hint="eastAsia"/>
        </w:rPr>
        <w:t>（或按照细菌或细胞数量（</w:t>
      </w:r>
      <w:r>
        <w:t>10</w:t>
      </w:r>
      <w:r>
        <w:rPr>
          <w:vertAlign w:val="superscript"/>
        </w:rPr>
        <w:t>4</w:t>
      </w:r>
      <w:r>
        <w:rPr>
          <w:rFonts w:hint="eastAsia"/>
        </w:rPr>
        <w:t>个）：试剂一体积（</w:t>
      </w:r>
      <w:r>
        <w:t>mL</w:t>
      </w:r>
      <w:r>
        <w:rPr>
          <w:rFonts w:hint="eastAsia"/>
        </w:rPr>
        <w:t>）为</w:t>
      </w:r>
      <w:r>
        <w:t>500~1000</w:t>
      </w:r>
      <w:r>
        <w:rPr>
          <w:rFonts w:hint="eastAsia"/>
        </w:rPr>
        <w:t>：</w:t>
      </w:r>
      <w:r>
        <w:t>1</w:t>
      </w:r>
      <w:r>
        <w:rPr>
          <w:rFonts w:hint="eastAsia"/>
        </w:rPr>
        <w:t>的比例进行提取）</w:t>
      </w:r>
    </w:p>
    <w:p w14:paraId="03947F0E">
      <w:pPr>
        <w:ind w:firstLine="360" w:firstLineChars="200"/>
        <w:rPr>
          <w:rFonts w:eastAsia="黑体"/>
          <w:sz w:val="18"/>
          <w:szCs w:val="18"/>
        </w:rPr>
      </w:pPr>
      <w:r>
        <w:rPr>
          <w:rFonts w:eastAsia="黑体"/>
          <w:sz w:val="18"/>
          <w:szCs w:val="18"/>
        </w:rPr>
        <w:t xml:space="preserve"> [注]：不能用细胞裂解液处理细胞。</w:t>
      </w:r>
    </w:p>
    <w:p w14:paraId="38F058A2">
      <w:pPr>
        <w:ind w:firstLine="210" w:firstLineChars="100"/>
        <w:rPr>
          <w:rFonts w:hint="eastAsia"/>
        </w:rPr>
      </w:pPr>
      <w:r>
        <w:rPr>
          <w:rFonts w:hint="eastAsia"/>
        </w:rPr>
        <w:t>③ 液体</w:t>
      </w:r>
      <w:r>
        <w:t>样</w:t>
      </w:r>
      <w:r>
        <w:rPr>
          <w:rFonts w:hint="eastAsia"/>
        </w:rPr>
        <w:t>本</w:t>
      </w:r>
      <w:r>
        <w:t>：直接检测。</w:t>
      </w:r>
      <w:r>
        <w:rPr>
          <w:rFonts w:hint="eastAsia"/>
        </w:rPr>
        <w:t>若浑浊，离心后取上清检测。</w:t>
      </w:r>
    </w:p>
    <w:p w14:paraId="104F53C4">
      <w:pPr>
        <w:ind w:firstLine="240" w:firstLineChars="100"/>
        <w:rPr>
          <w:rFonts w:hint="eastAsia"/>
          <w:b/>
          <w:sz w:val="24"/>
          <w:szCs w:val="24"/>
        </w:rPr>
      </w:pPr>
      <w:r>
        <w:rPr>
          <w:rFonts w:hint="eastAsia" w:ascii="黑体" w:eastAsia="黑体"/>
          <w:sz w:val="24"/>
          <w:szCs w:val="24"/>
        </w:rPr>
        <w:t>2、上机检测</w:t>
      </w:r>
      <w:r>
        <w:rPr>
          <w:b/>
          <w:sz w:val="24"/>
          <w:szCs w:val="24"/>
        </w:rPr>
        <w:t>：</w:t>
      </w:r>
    </w:p>
    <w:p w14:paraId="60D84BF5">
      <w:pPr>
        <w:ind w:firstLine="420" w:firstLineChars="200"/>
        <w:rPr>
          <w:rFonts w:hint="eastAsia"/>
          <w:bCs/>
          <w:szCs w:val="21"/>
        </w:rPr>
      </w:pPr>
      <w:r>
        <w:rPr>
          <w:rFonts w:hint="eastAsia"/>
          <w:bCs/>
          <w:szCs w:val="21"/>
        </w:rPr>
        <w:t>① 酶标仪</w:t>
      </w:r>
      <w:r>
        <w:rPr>
          <w:bCs/>
          <w:szCs w:val="21"/>
        </w:rPr>
        <w:t>预热30 min，</w:t>
      </w:r>
      <w:r>
        <w:rPr>
          <w:rFonts w:hint="eastAsia"/>
          <w:bCs/>
          <w:szCs w:val="21"/>
        </w:rPr>
        <w:t>温度设定37</w:t>
      </w:r>
      <w:r>
        <w:rPr>
          <w:rFonts w:ascii="宋体" w:hAnsi="宋体"/>
        </w:rPr>
        <w:t>℃</w:t>
      </w:r>
      <w:r>
        <w:rPr>
          <w:rFonts w:hint="eastAsia" w:ascii="宋体" w:hAnsi="宋体"/>
        </w:rPr>
        <w:t>，</w:t>
      </w:r>
      <w:r>
        <w:rPr>
          <w:bCs/>
          <w:szCs w:val="21"/>
        </w:rPr>
        <w:t>调节波长到340 nm。</w:t>
      </w:r>
    </w:p>
    <w:p w14:paraId="3D6E38C6">
      <w:pPr>
        <w:ind w:left="714" w:leftChars="190" w:hanging="315" w:hangingChars="150"/>
        <w:rPr>
          <w:rFonts w:hint="eastAsia" w:hAnsi="宋体"/>
          <w:szCs w:val="21"/>
        </w:rPr>
      </w:pPr>
      <w:r>
        <w:rPr>
          <w:rFonts w:hint="eastAsia" w:hAnsi="宋体"/>
          <w:szCs w:val="21"/>
        </w:rPr>
        <w:t>② 可先做2个样本预测定，熟悉操作过程，并依据测出的吸光值A是否符合预判做相应调整。</w:t>
      </w:r>
    </w:p>
    <w:p w14:paraId="74734371">
      <w:pPr>
        <w:ind w:firstLine="420" w:firstLineChars="200"/>
        <w:rPr>
          <w:rFonts w:hint="eastAsia"/>
          <w:bCs/>
          <w:szCs w:val="21"/>
        </w:rPr>
      </w:pPr>
      <w:r>
        <w:rPr>
          <w:rFonts w:hint="eastAsia"/>
          <w:bCs/>
          <w:szCs w:val="21"/>
        </w:rPr>
        <w:t>③ 在96孔板中依次按照下表加入试剂：</w:t>
      </w:r>
    </w:p>
    <w:tbl>
      <w:tblPr>
        <w:tblStyle w:val="7"/>
        <w:tblW w:w="0" w:type="auto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41"/>
        <w:gridCol w:w="3041"/>
      </w:tblGrid>
      <w:tr w14:paraId="7D193C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3241" w:type="dxa"/>
            <w:noWrap w:val="0"/>
            <w:vAlign w:val="top"/>
          </w:tcPr>
          <w:p w14:paraId="1996DDC2">
            <w:pPr>
              <w:jc w:val="center"/>
            </w:pPr>
            <w:r>
              <w:rPr>
                <w:rFonts w:hAnsi="宋体"/>
              </w:rPr>
              <w:t>试剂名称（</w:t>
            </w:r>
            <w:r>
              <w:t>μL</w:t>
            </w:r>
            <w:r>
              <w:rPr>
                <w:rFonts w:hAnsi="宋体"/>
              </w:rPr>
              <w:t>）</w:t>
            </w:r>
          </w:p>
        </w:tc>
        <w:tc>
          <w:tcPr>
            <w:tcW w:w="3041" w:type="dxa"/>
            <w:noWrap w:val="0"/>
            <w:vAlign w:val="top"/>
          </w:tcPr>
          <w:p w14:paraId="385CA80C">
            <w:pPr>
              <w:jc w:val="center"/>
            </w:pPr>
            <w:r>
              <w:rPr>
                <w:rFonts w:hAnsi="宋体"/>
              </w:rPr>
              <w:t>测定管</w:t>
            </w:r>
          </w:p>
        </w:tc>
      </w:tr>
      <w:tr w14:paraId="691AF2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3241" w:type="dxa"/>
            <w:noWrap w:val="0"/>
            <w:vAlign w:val="top"/>
          </w:tcPr>
          <w:p w14:paraId="0772C7D0">
            <w:pPr>
              <w:jc w:val="center"/>
            </w:pPr>
            <w:r>
              <w:rPr>
                <w:rFonts w:hint="eastAsia" w:hAnsi="宋体"/>
              </w:rPr>
              <w:t>样本</w:t>
            </w:r>
          </w:p>
        </w:tc>
        <w:tc>
          <w:tcPr>
            <w:tcW w:w="3041" w:type="dxa"/>
            <w:noWrap w:val="0"/>
            <w:vAlign w:val="top"/>
          </w:tcPr>
          <w:p w14:paraId="5EFB8CBF">
            <w:pPr>
              <w:jc w:val="center"/>
            </w:pPr>
            <w:r>
              <w:rPr>
                <w:rFonts w:hint="eastAsia"/>
              </w:rPr>
              <w:t>10</w:t>
            </w:r>
          </w:p>
        </w:tc>
      </w:tr>
      <w:tr w14:paraId="461F56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  <w:jc w:val="center"/>
        </w:trPr>
        <w:tc>
          <w:tcPr>
            <w:tcW w:w="3241" w:type="dxa"/>
            <w:noWrap w:val="0"/>
            <w:vAlign w:val="top"/>
          </w:tcPr>
          <w:p w14:paraId="5407582C">
            <w:pPr>
              <w:jc w:val="center"/>
            </w:pPr>
            <w:r>
              <w:rPr>
                <w:rFonts w:hint="eastAsia" w:hAnsi="宋体"/>
              </w:rPr>
              <w:t>反应mix</w:t>
            </w:r>
          </w:p>
        </w:tc>
        <w:tc>
          <w:tcPr>
            <w:tcW w:w="3041" w:type="dxa"/>
            <w:noWrap w:val="0"/>
            <w:vAlign w:val="top"/>
          </w:tcPr>
          <w:p w14:paraId="790098F6">
            <w:pPr>
              <w:jc w:val="center"/>
            </w:pPr>
            <w:r>
              <w:rPr>
                <w:rFonts w:hint="eastAsia"/>
              </w:rPr>
              <w:t>190</w:t>
            </w:r>
          </w:p>
        </w:tc>
      </w:tr>
      <w:tr w14:paraId="14C710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  <w:jc w:val="center"/>
        </w:trPr>
        <w:tc>
          <w:tcPr>
            <w:tcW w:w="6282" w:type="dxa"/>
            <w:gridSpan w:val="2"/>
            <w:noWrap w:val="0"/>
            <w:vAlign w:val="center"/>
          </w:tcPr>
          <w:p w14:paraId="235236A1">
            <w:pPr>
              <w:ind w:left="8" w:leftChars="4"/>
              <w:jc w:val="center"/>
              <w:rPr>
                <w:szCs w:val="21"/>
              </w:rPr>
            </w:pPr>
            <w:r>
              <w:rPr>
                <w:rFonts w:hAnsi="宋体"/>
                <w:szCs w:val="21"/>
              </w:rPr>
              <w:t>混匀，</w:t>
            </w:r>
            <w:r>
              <w:rPr>
                <w:rFonts w:hint="eastAsia" w:hAnsi="宋体"/>
                <w:szCs w:val="21"/>
              </w:rPr>
              <w:t>37</w:t>
            </w:r>
            <w:r>
              <w:rPr>
                <w:rFonts w:ascii="宋体" w:hAnsi="宋体"/>
              </w:rPr>
              <w:t>℃</w:t>
            </w:r>
            <w:r>
              <w:rPr>
                <w:rFonts w:hint="eastAsia" w:ascii="宋体" w:hAnsi="宋体"/>
              </w:rPr>
              <w:t>下，</w:t>
            </w:r>
            <w:r>
              <w:rPr>
                <w:rFonts w:hint="eastAsia" w:hAnsi="宋体"/>
                <w:szCs w:val="21"/>
              </w:rPr>
              <w:t>立即于340nm下读取A1值，5min后读取A2值，</w:t>
            </w:r>
            <w:r>
              <w:t>ΔA</w:t>
            </w:r>
            <w:r>
              <w:rPr>
                <w:rFonts w:hint="eastAsia"/>
              </w:rPr>
              <w:t>=A2-A1</w:t>
            </w:r>
            <w:r>
              <w:rPr>
                <w:rFonts w:hint="eastAsia" w:hAnsi="宋体"/>
                <w:szCs w:val="21"/>
              </w:rPr>
              <w:t>。</w:t>
            </w:r>
          </w:p>
        </w:tc>
      </w:tr>
    </w:tbl>
    <w:p w14:paraId="51269522">
      <w:pPr>
        <w:ind w:left="1845" w:leftChars="150" w:hanging="1530" w:hangingChars="850"/>
        <w:rPr>
          <w:rFonts w:hint="eastAsia" w:eastAsia="黑体"/>
          <w:sz w:val="18"/>
          <w:szCs w:val="18"/>
        </w:rPr>
      </w:pPr>
      <w:r>
        <w:rPr>
          <w:rFonts w:hint="eastAsia" w:eastAsia="黑体"/>
          <w:sz w:val="18"/>
          <w:szCs w:val="18"/>
        </w:rPr>
        <w:t>【注】</w:t>
      </w:r>
      <w:r>
        <w:rPr>
          <w:rFonts w:eastAsia="黑体"/>
          <w:sz w:val="18"/>
          <w:szCs w:val="18"/>
        </w:rPr>
        <w:t>：</w:t>
      </w:r>
      <w:r>
        <w:rPr>
          <w:rFonts w:hint="eastAsia" w:eastAsia="黑体"/>
          <w:sz w:val="18"/>
          <w:szCs w:val="18"/>
        </w:rPr>
        <w:t xml:space="preserve">1. </w:t>
      </w:r>
      <w:r>
        <w:rPr>
          <w:rFonts w:eastAsia="黑体"/>
          <w:sz w:val="18"/>
          <w:szCs w:val="18"/>
        </w:rPr>
        <w:t>若ΔA过小，可以延长反应时间（如：</w:t>
      </w:r>
      <w:r>
        <w:rPr>
          <w:rFonts w:hint="eastAsia" w:eastAsia="黑体"/>
          <w:sz w:val="18"/>
          <w:szCs w:val="18"/>
        </w:rPr>
        <w:t>15</w:t>
      </w:r>
      <w:r>
        <w:rPr>
          <w:rFonts w:eastAsia="黑体"/>
          <w:sz w:val="18"/>
          <w:szCs w:val="18"/>
        </w:rPr>
        <w:t>min或更长），</w:t>
      </w:r>
      <w:r>
        <w:rPr>
          <w:rFonts w:hint="eastAsia" w:eastAsia="黑体"/>
          <w:sz w:val="18"/>
          <w:szCs w:val="18"/>
        </w:rPr>
        <w:t>或增加样本加样体系V1（如增至20</w:t>
      </w:r>
      <w:r>
        <w:rPr>
          <w:rFonts w:eastAsia="黑体"/>
          <w:sz w:val="18"/>
          <w:szCs w:val="18"/>
        </w:rPr>
        <w:t>μL</w:t>
      </w:r>
      <w:r>
        <w:rPr>
          <w:rFonts w:hint="eastAsia" w:eastAsia="黑体"/>
          <w:sz w:val="18"/>
          <w:szCs w:val="18"/>
        </w:rPr>
        <w:t>，</w:t>
      </w:r>
    </w:p>
    <w:p w14:paraId="1CE07B3C">
      <w:pPr>
        <w:ind w:left="1965" w:leftChars="550" w:hanging="810" w:hangingChars="450"/>
        <w:rPr>
          <w:rFonts w:eastAsia="黑体"/>
          <w:sz w:val="18"/>
          <w:szCs w:val="18"/>
        </w:rPr>
      </w:pPr>
      <w:r>
        <w:rPr>
          <w:rFonts w:hint="eastAsia" w:eastAsia="黑体"/>
          <w:sz w:val="18"/>
          <w:szCs w:val="18"/>
        </w:rPr>
        <w:t>则反应mix相应减少），则改变后的反应时间T和加样体积V1需代入计算公式重新计算。</w:t>
      </w:r>
    </w:p>
    <w:p w14:paraId="6741EFB0">
      <w:pPr>
        <w:ind w:left="1200" w:leftChars="400" w:hanging="360" w:hangingChars="200"/>
        <w:rPr>
          <w:rFonts w:eastAsia="黑体"/>
          <w:sz w:val="18"/>
          <w:szCs w:val="18"/>
        </w:rPr>
      </w:pPr>
      <w:r>
        <w:rPr>
          <w:rFonts w:hint="eastAsia" w:eastAsia="黑体"/>
          <w:sz w:val="18"/>
          <w:szCs w:val="18"/>
        </w:rPr>
        <w:t xml:space="preserve"> 2. 若A2大于1.5，可以缩短反应时间（如2min），或减少样本加样体系V1（如减至5</w:t>
      </w:r>
      <w:r>
        <w:rPr>
          <w:rFonts w:eastAsia="黑体"/>
          <w:sz w:val="18"/>
          <w:szCs w:val="18"/>
        </w:rPr>
        <w:t>μL</w:t>
      </w:r>
      <w:r>
        <w:rPr>
          <w:rFonts w:hint="eastAsia" w:eastAsia="黑体"/>
          <w:sz w:val="18"/>
          <w:szCs w:val="18"/>
        </w:rPr>
        <w:t>，则反应mix相应增加），则改变后的反应时间T和加样体积V1需代入计算公式重新计算。</w:t>
      </w:r>
    </w:p>
    <w:p w14:paraId="57899E85">
      <w:pPr>
        <w:rPr>
          <w:rFonts w:hint="eastAsia" w:ascii="黑体" w:hAnsi="黑体" w:eastAsia="黑体" w:cs="黑体"/>
          <w:bCs/>
          <w:sz w:val="24"/>
          <w:szCs w:val="24"/>
        </w:rPr>
      </w:pPr>
      <w:r>
        <w:rPr>
          <w:rFonts w:hint="eastAsia" w:ascii="黑体" w:hAnsi="黑体" w:eastAsia="黑体" w:cs="黑体"/>
          <w:bCs/>
          <w:sz w:val="24"/>
          <w:szCs w:val="24"/>
        </w:rPr>
        <w:t>五、结果计算：</w:t>
      </w:r>
    </w:p>
    <w:p w14:paraId="2668D66E">
      <w:pPr>
        <w:ind w:firstLine="105" w:firstLineChars="50"/>
        <w:rPr>
          <w:szCs w:val="21"/>
        </w:rPr>
      </w:pPr>
      <w:r>
        <w:rPr>
          <w:rFonts w:hint="eastAsia"/>
          <w:szCs w:val="21"/>
        </w:rPr>
        <w:t>1、</w:t>
      </w:r>
      <w:r>
        <w:rPr>
          <w:szCs w:val="21"/>
        </w:rPr>
        <w:t>按蛋白浓度计算</w:t>
      </w:r>
      <w:r>
        <w:rPr>
          <w:rFonts w:hint="eastAsia"/>
          <w:szCs w:val="21"/>
        </w:rPr>
        <w:t>：</w:t>
      </w:r>
    </w:p>
    <w:p w14:paraId="0181AE37">
      <w:pPr>
        <w:ind w:left="1785" w:leftChars="150" w:hanging="1470" w:hangingChars="700"/>
        <w:rPr>
          <w:szCs w:val="21"/>
        </w:rPr>
      </w:pPr>
      <w:r>
        <w:rPr>
          <w:szCs w:val="21"/>
        </w:rPr>
        <w:t>活性单位定义：</w:t>
      </w:r>
      <w:r>
        <w:rPr>
          <w:rFonts w:hint="eastAsia"/>
          <w:szCs w:val="21"/>
        </w:rPr>
        <w:t>在上述反应条件下，</w:t>
      </w:r>
      <w:r>
        <w:rPr>
          <w:szCs w:val="21"/>
        </w:rPr>
        <w:t>每毫克蛋白每分钟催化1</w:t>
      </w:r>
      <w:r>
        <w:rPr>
          <w:rFonts w:hint="eastAsia"/>
        </w:rPr>
        <w:t>n</w:t>
      </w:r>
      <w:r>
        <w:rPr>
          <w:szCs w:val="21"/>
        </w:rPr>
        <w:t>mol</w:t>
      </w:r>
      <w:r>
        <w:rPr>
          <w:rFonts w:hint="eastAsia"/>
          <w:szCs w:val="21"/>
        </w:rPr>
        <w:t>的</w:t>
      </w:r>
      <w:r>
        <w:rPr>
          <w:szCs w:val="21"/>
        </w:rPr>
        <w:t>CDNB与GSH结合为1个酶活单位。</w:t>
      </w:r>
    </w:p>
    <w:p w14:paraId="5ED3F567">
      <w:pPr>
        <w:ind w:firstLine="420" w:firstLineChars="200"/>
        <w:rPr>
          <w:szCs w:val="21"/>
        </w:rPr>
      </w:pPr>
      <w:r>
        <w:rPr>
          <w:szCs w:val="21"/>
        </w:rPr>
        <w:t>GST(</w:t>
      </w:r>
      <w:r>
        <w:rPr>
          <w:rFonts w:hint="eastAsia"/>
        </w:rPr>
        <w:t>n</w:t>
      </w:r>
      <w:r>
        <w:rPr>
          <w:szCs w:val="21"/>
        </w:rPr>
        <w:t>mol/min/mg prot)=</w:t>
      </w:r>
      <w:r>
        <w:rPr>
          <w:rFonts w:hint="eastAsia"/>
          <w:szCs w:val="21"/>
        </w:rPr>
        <w:t>[</w:t>
      </w:r>
      <w:r>
        <w:t>ΔA</w:t>
      </w:r>
      <w:r>
        <w:rPr>
          <w:szCs w:val="21"/>
        </w:rPr>
        <w:t>÷ε÷d×V</w:t>
      </w:r>
      <w:r>
        <w:rPr>
          <w:rFonts w:hint="eastAsia"/>
          <w:szCs w:val="21"/>
        </w:rPr>
        <w:t>2</w:t>
      </w:r>
      <w:r>
        <w:rPr>
          <w:szCs w:val="21"/>
        </w:rPr>
        <w:t>×10</w:t>
      </w:r>
      <w:r>
        <w:rPr>
          <w:rFonts w:hint="eastAsia"/>
          <w:szCs w:val="21"/>
          <w:vertAlign w:val="superscript"/>
        </w:rPr>
        <w:t>9</w:t>
      </w:r>
      <w:r>
        <w:rPr>
          <w:rFonts w:hint="eastAsia"/>
          <w:szCs w:val="21"/>
        </w:rPr>
        <w:t>]</w:t>
      </w:r>
      <w:r>
        <w:rPr>
          <w:szCs w:val="21"/>
        </w:rPr>
        <w:t>÷(Cpr×V</w:t>
      </w:r>
      <w:r>
        <w:rPr>
          <w:rFonts w:hint="eastAsia"/>
          <w:szCs w:val="21"/>
        </w:rPr>
        <w:t>1</w:t>
      </w:r>
      <w:r>
        <w:rPr>
          <w:szCs w:val="21"/>
        </w:rPr>
        <w:t>)÷T=</w:t>
      </w:r>
      <w:r>
        <w:rPr>
          <w:rFonts w:hint="eastAsia"/>
          <w:szCs w:val="21"/>
        </w:rPr>
        <w:t>833.3</w:t>
      </w:r>
      <w:r>
        <w:rPr>
          <w:szCs w:val="21"/>
        </w:rPr>
        <w:t>×</w:t>
      </w:r>
      <w:r>
        <w:t>ΔA</w:t>
      </w:r>
      <w:r>
        <w:rPr>
          <w:szCs w:val="21"/>
        </w:rPr>
        <w:t xml:space="preserve"> ÷Cpr</w:t>
      </w:r>
    </w:p>
    <w:p w14:paraId="45073D26">
      <w:pPr>
        <w:ind w:firstLine="105" w:firstLineChars="50"/>
        <w:rPr>
          <w:szCs w:val="21"/>
        </w:rPr>
      </w:pPr>
      <w:r>
        <w:rPr>
          <w:rFonts w:hint="eastAsia"/>
          <w:szCs w:val="21"/>
        </w:rPr>
        <w:t>2、</w:t>
      </w:r>
      <w:r>
        <w:rPr>
          <w:szCs w:val="21"/>
        </w:rPr>
        <w:t>按样本质量计算</w:t>
      </w:r>
      <w:r>
        <w:rPr>
          <w:rFonts w:hint="eastAsia"/>
          <w:szCs w:val="21"/>
        </w:rPr>
        <w:t>：</w:t>
      </w:r>
    </w:p>
    <w:p w14:paraId="2B952F44">
      <w:pPr>
        <w:ind w:left="1890" w:leftChars="200" w:hanging="1470" w:hangingChars="700"/>
        <w:rPr>
          <w:szCs w:val="21"/>
        </w:rPr>
      </w:pPr>
      <w:r>
        <w:rPr>
          <w:szCs w:val="21"/>
        </w:rPr>
        <w:t>活性单位定义：</w:t>
      </w:r>
      <w:r>
        <w:rPr>
          <w:rFonts w:hint="eastAsia"/>
          <w:szCs w:val="21"/>
        </w:rPr>
        <w:t>在上述反应条件下，</w:t>
      </w:r>
      <w:r>
        <w:rPr>
          <w:szCs w:val="21"/>
        </w:rPr>
        <w:t>每克样品每分钟催化1</w:t>
      </w:r>
      <w:r>
        <w:rPr>
          <w:rFonts w:hint="eastAsia"/>
        </w:rPr>
        <w:t>n</w:t>
      </w:r>
      <w:r>
        <w:rPr>
          <w:szCs w:val="21"/>
        </w:rPr>
        <w:t>mol</w:t>
      </w:r>
      <w:r>
        <w:rPr>
          <w:rFonts w:hint="eastAsia"/>
          <w:szCs w:val="21"/>
        </w:rPr>
        <w:t>的</w:t>
      </w:r>
      <w:r>
        <w:rPr>
          <w:szCs w:val="21"/>
        </w:rPr>
        <w:t>CDNB与GSH结合为1个酶活单位。</w:t>
      </w:r>
    </w:p>
    <w:p w14:paraId="795F02F2">
      <w:pPr>
        <w:ind w:firstLine="420" w:firstLineChars="200"/>
        <w:rPr>
          <w:szCs w:val="21"/>
        </w:rPr>
      </w:pPr>
      <w:r>
        <w:rPr>
          <w:szCs w:val="21"/>
        </w:rPr>
        <w:t>GST(nmol/min/g 鲜重)=</w:t>
      </w:r>
      <w:r>
        <w:rPr>
          <w:rFonts w:hint="eastAsia"/>
          <w:szCs w:val="21"/>
        </w:rPr>
        <w:t>[</w:t>
      </w:r>
      <w:r>
        <w:t>ΔA</w:t>
      </w:r>
      <w:r>
        <w:rPr>
          <w:szCs w:val="21"/>
        </w:rPr>
        <w:t>÷ε÷d×V</w:t>
      </w:r>
      <w:r>
        <w:rPr>
          <w:rFonts w:hint="eastAsia"/>
          <w:szCs w:val="21"/>
        </w:rPr>
        <w:t>2</w:t>
      </w:r>
      <w:r>
        <w:rPr>
          <w:szCs w:val="21"/>
        </w:rPr>
        <w:t>×10</w:t>
      </w:r>
      <w:r>
        <w:rPr>
          <w:szCs w:val="21"/>
          <w:vertAlign w:val="superscript"/>
        </w:rPr>
        <w:t>9</w:t>
      </w:r>
      <w:r>
        <w:rPr>
          <w:rFonts w:hint="eastAsia"/>
          <w:szCs w:val="21"/>
        </w:rPr>
        <w:t>]</w:t>
      </w:r>
      <w:r>
        <w:rPr>
          <w:szCs w:val="21"/>
        </w:rPr>
        <w:t>÷(W×V</w:t>
      </w:r>
      <w:r>
        <w:rPr>
          <w:rFonts w:hint="eastAsia"/>
          <w:szCs w:val="21"/>
        </w:rPr>
        <w:t>1</w:t>
      </w:r>
      <w:r>
        <w:rPr>
          <w:szCs w:val="21"/>
        </w:rPr>
        <w:t>÷V)÷T=</w:t>
      </w:r>
      <w:r>
        <w:rPr>
          <w:rFonts w:hint="eastAsia"/>
          <w:szCs w:val="21"/>
        </w:rPr>
        <w:t>833.3</w:t>
      </w:r>
      <w:r>
        <w:rPr>
          <w:szCs w:val="21"/>
        </w:rPr>
        <w:t>×</w:t>
      </w:r>
      <w:r>
        <w:t>ΔA</w:t>
      </w:r>
      <w:r>
        <w:rPr>
          <w:szCs w:val="21"/>
        </w:rPr>
        <w:t>÷W</w:t>
      </w:r>
    </w:p>
    <w:p w14:paraId="4535D2E8">
      <w:pPr>
        <w:ind w:firstLine="105" w:firstLineChars="50"/>
        <w:rPr>
          <w:szCs w:val="21"/>
        </w:rPr>
      </w:pPr>
      <w:r>
        <w:rPr>
          <w:rFonts w:hint="eastAsia"/>
          <w:szCs w:val="21"/>
        </w:rPr>
        <w:t>3、</w:t>
      </w:r>
      <w:r>
        <w:rPr>
          <w:szCs w:val="21"/>
        </w:rPr>
        <w:t>按细胞数量计算</w:t>
      </w:r>
      <w:r>
        <w:rPr>
          <w:rFonts w:hint="eastAsia"/>
          <w:szCs w:val="21"/>
        </w:rPr>
        <w:t>：</w:t>
      </w:r>
    </w:p>
    <w:p w14:paraId="23EAB22B">
      <w:pPr>
        <w:ind w:left="1890" w:leftChars="200" w:hanging="1470" w:hangingChars="700"/>
        <w:rPr>
          <w:szCs w:val="21"/>
        </w:rPr>
      </w:pPr>
      <w:r>
        <w:rPr>
          <w:szCs w:val="21"/>
        </w:rPr>
        <w:t>活性单位定义：</w:t>
      </w:r>
      <w:r>
        <w:rPr>
          <w:rFonts w:hint="eastAsia"/>
          <w:szCs w:val="21"/>
        </w:rPr>
        <w:t>在上述反应条件下</w:t>
      </w:r>
      <w:r>
        <w:rPr>
          <w:szCs w:val="21"/>
        </w:rPr>
        <w:t>，每10</w:t>
      </w:r>
      <w:r>
        <w:rPr>
          <w:szCs w:val="21"/>
          <w:vertAlign w:val="superscript"/>
        </w:rPr>
        <w:t>4</w:t>
      </w:r>
      <w:r>
        <w:rPr>
          <w:szCs w:val="21"/>
        </w:rPr>
        <w:t>个细胞每分钟催化1</w:t>
      </w:r>
      <w:r>
        <w:rPr>
          <w:rFonts w:hint="eastAsia"/>
        </w:rPr>
        <w:t>n</w:t>
      </w:r>
      <w:r>
        <w:rPr>
          <w:szCs w:val="21"/>
        </w:rPr>
        <w:t>mol</w:t>
      </w:r>
      <w:r>
        <w:rPr>
          <w:rFonts w:hint="eastAsia"/>
          <w:szCs w:val="21"/>
        </w:rPr>
        <w:t>的</w:t>
      </w:r>
      <w:r>
        <w:rPr>
          <w:szCs w:val="21"/>
        </w:rPr>
        <w:t>CDNB与GSH结合为1个酶活单位。</w:t>
      </w:r>
    </w:p>
    <w:p w14:paraId="5CF625CC">
      <w:pPr>
        <w:ind w:firstLine="420" w:firstLineChars="200"/>
        <w:rPr>
          <w:szCs w:val="21"/>
        </w:rPr>
      </w:pPr>
      <w:r>
        <w:rPr>
          <w:szCs w:val="21"/>
        </w:rPr>
        <w:t>GST(nmol/min/10</w:t>
      </w:r>
      <w:r>
        <w:rPr>
          <w:szCs w:val="21"/>
          <w:vertAlign w:val="superscript"/>
        </w:rPr>
        <w:t xml:space="preserve">4 </w:t>
      </w:r>
      <w:r>
        <w:rPr>
          <w:szCs w:val="21"/>
        </w:rPr>
        <w:t>cell)=</w:t>
      </w:r>
      <w:r>
        <w:rPr>
          <w:rFonts w:hint="eastAsia"/>
          <w:szCs w:val="21"/>
        </w:rPr>
        <w:t>[</w:t>
      </w:r>
      <w:r>
        <w:t>ΔA</w:t>
      </w:r>
      <w:r>
        <w:rPr>
          <w:szCs w:val="21"/>
        </w:rPr>
        <w:t>÷ε÷d×V</w:t>
      </w:r>
      <w:r>
        <w:rPr>
          <w:rFonts w:hint="eastAsia"/>
          <w:szCs w:val="21"/>
        </w:rPr>
        <w:t>2</w:t>
      </w:r>
      <w:r>
        <w:rPr>
          <w:szCs w:val="21"/>
        </w:rPr>
        <w:t>×10</w:t>
      </w:r>
      <w:r>
        <w:rPr>
          <w:szCs w:val="21"/>
          <w:vertAlign w:val="superscript"/>
        </w:rPr>
        <w:t>9</w:t>
      </w:r>
      <w:r>
        <w:rPr>
          <w:rFonts w:hint="eastAsia"/>
          <w:szCs w:val="21"/>
        </w:rPr>
        <w:t>]</w:t>
      </w:r>
      <w:r>
        <w:rPr>
          <w:szCs w:val="21"/>
        </w:rPr>
        <w:t>÷(细胞数量×V</w:t>
      </w:r>
      <w:r>
        <w:rPr>
          <w:rFonts w:hint="eastAsia"/>
          <w:szCs w:val="21"/>
        </w:rPr>
        <w:t>1</w:t>
      </w:r>
      <w:r>
        <w:rPr>
          <w:szCs w:val="21"/>
        </w:rPr>
        <w:t>÷V)÷T=</w:t>
      </w:r>
      <w:r>
        <w:rPr>
          <w:rFonts w:hint="eastAsia"/>
          <w:szCs w:val="21"/>
        </w:rPr>
        <w:t>833.3</w:t>
      </w:r>
      <w:r>
        <w:rPr>
          <w:szCs w:val="21"/>
        </w:rPr>
        <w:t>×</w:t>
      </w:r>
      <w:r>
        <w:t>ΔA</w:t>
      </w:r>
      <w:r>
        <w:rPr>
          <w:szCs w:val="21"/>
        </w:rPr>
        <w:t>÷细胞数量</w:t>
      </w:r>
    </w:p>
    <w:p w14:paraId="10F09914">
      <w:pPr>
        <w:ind w:firstLine="105" w:firstLineChars="50"/>
        <w:rPr>
          <w:szCs w:val="21"/>
        </w:rPr>
      </w:pPr>
      <w:r>
        <w:rPr>
          <w:rFonts w:hint="eastAsia"/>
          <w:szCs w:val="21"/>
        </w:rPr>
        <w:t>4、</w:t>
      </w:r>
      <w:r>
        <w:rPr>
          <w:szCs w:val="21"/>
        </w:rPr>
        <w:t>按液体体积计算</w:t>
      </w:r>
      <w:r>
        <w:rPr>
          <w:rFonts w:hint="eastAsia"/>
          <w:szCs w:val="21"/>
        </w:rPr>
        <w:t>：</w:t>
      </w:r>
    </w:p>
    <w:p w14:paraId="262F2560">
      <w:pPr>
        <w:ind w:left="1890" w:leftChars="200" w:hanging="1470" w:hangingChars="700"/>
        <w:rPr>
          <w:szCs w:val="21"/>
        </w:rPr>
      </w:pPr>
      <w:r>
        <w:rPr>
          <w:szCs w:val="21"/>
        </w:rPr>
        <w:t>活性单位定义：</w:t>
      </w:r>
      <w:r>
        <w:rPr>
          <w:rFonts w:hint="eastAsia"/>
          <w:szCs w:val="21"/>
        </w:rPr>
        <w:t>在上述反应条件下</w:t>
      </w:r>
      <w:r>
        <w:rPr>
          <w:szCs w:val="21"/>
        </w:rPr>
        <w:t>，每毫升液体每分钟催化1</w:t>
      </w:r>
      <w:r>
        <w:rPr>
          <w:rFonts w:hint="eastAsia"/>
        </w:rPr>
        <w:t>n</w:t>
      </w:r>
      <w:r>
        <w:rPr>
          <w:szCs w:val="21"/>
        </w:rPr>
        <w:t>mol</w:t>
      </w:r>
      <w:r>
        <w:rPr>
          <w:rFonts w:hint="eastAsia"/>
          <w:szCs w:val="21"/>
        </w:rPr>
        <w:t>的</w:t>
      </w:r>
      <w:r>
        <w:rPr>
          <w:szCs w:val="21"/>
        </w:rPr>
        <w:t>CDNB与GSH结合为1个酶活单位。</w:t>
      </w:r>
    </w:p>
    <w:p w14:paraId="5B35D179">
      <w:pPr>
        <w:ind w:firstLine="420" w:firstLineChars="200"/>
        <w:rPr>
          <w:rFonts w:hint="eastAsia"/>
          <w:bCs/>
          <w:szCs w:val="21"/>
        </w:rPr>
      </w:pPr>
      <w:r>
        <w:rPr>
          <w:szCs w:val="21"/>
        </w:rPr>
        <w:t>GST(nmol/min/mL)=</w:t>
      </w:r>
      <w:r>
        <w:rPr>
          <w:rFonts w:hint="eastAsia"/>
          <w:szCs w:val="21"/>
        </w:rPr>
        <w:t>[</w:t>
      </w:r>
      <w:r>
        <w:t>ΔA</w:t>
      </w:r>
      <w:r>
        <w:rPr>
          <w:szCs w:val="21"/>
        </w:rPr>
        <w:t>÷ε÷d×V</w:t>
      </w:r>
      <w:r>
        <w:rPr>
          <w:rFonts w:hint="eastAsia"/>
          <w:szCs w:val="21"/>
        </w:rPr>
        <w:t>2</w:t>
      </w:r>
      <w:r>
        <w:rPr>
          <w:szCs w:val="21"/>
        </w:rPr>
        <w:t>×10</w:t>
      </w:r>
      <w:r>
        <w:rPr>
          <w:szCs w:val="21"/>
          <w:vertAlign w:val="superscript"/>
        </w:rPr>
        <w:t>9</w:t>
      </w:r>
      <w:r>
        <w:rPr>
          <w:rFonts w:hint="eastAsia"/>
          <w:szCs w:val="21"/>
        </w:rPr>
        <w:t>]</w:t>
      </w:r>
      <w:r>
        <w:rPr>
          <w:szCs w:val="21"/>
        </w:rPr>
        <w:t>÷V</w:t>
      </w:r>
      <w:r>
        <w:rPr>
          <w:rFonts w:hint="eastAsia"/>
          <w:szCs w:val="21"/>
        </w:rPr>
        <w:t>1</w:t>
      </w:r>
      <w:r>
        <w:rPr>
          <w:szCs w:val="21"/>
        </w:rPr>
        <w:t>÷T =</w:t>
      </w:r>
      <w:r>
        <w:rPr>
          <w:rFonts w:hint="eastAsia"/>
          <w:szCs w:val="21"/>
        </w:rPr>
        <w:t>833.3</w:t>
      </w:r>
      <w:r>
        <w:rPr>
          <w:szCs w:val="21"/>
        </w:rPr>
        <w:t>×</w:t>
      </w:r>
      <w:r>
        <w:t>ΔA</w:t>
      </w:r>
    </w:p>
    <w:p w14:paraId="66B1E982">
      <w:pPr>
        <w:rPr>
          <w:rFonts w:hint="eastAsia"/>
          <w:bCs/>
          <w:szCs w:val="21"/>
        </w:rPr>
      </w:pPr>
    </w:p>
    <w:p w14:paraId="722B7DFC">
      <w:pPr>
        <w:ind w:firstLine="315" w:firstLineChars="150"/>
        <w:rPr>
          <w:rFonts w:hint="eastAsia"/>
          <w:bCs/>
          <w:szCs w:val="21"/>
        </w:rPr>
      </w:pPr>
      <w:r>
        <w:rPr>
          <w:bCs/>
          <w:szCs w:val="21"/>
        </w:rPr>
        <w:t>ε</w:t>
      </w:r>
      <w:r>
        <w:rPr>
          <w:rFonts w:hint="eastAsia"/>
          <w:bCs/>
          <w:szCs w:val="21"/>
        </w:rPr>
        <w:t>---</w:t>
      </w:r>
      <w:r>
        <w:rPr>
          <w:bCs/>
          <w:szCs w:val="21"/>
        </w:rPr>
        <w:t>产物摩尔消光系数，9.6×10</w:t>
      </w:r>
      <w:r>
        <w:rPr>
          <w:bCs/>
          <w:szCs w:val="21"/>
          <w:vertAlign w:val="superscript"/>
        </w:rPr>
        <w:t>3</w:t>
      </w:r>
      <w:r>
        <w:rPr>
          <w:bCs/>
          <w:szCs w:val="21"/>
        </w:rPr>
        <w:t xml:space="preserve"> L/mol /cm；</w:t>
      </w:r>
      <w:r>
        <w:rPr>
          <w:rFonts w:hint="eastAsia"/>
          <w:bCs/>
          <w:szCs w:val="21"/>
        </w:rPr>
        <w:t xml:space="preserve">      </w:t>
      </w:r>
      <w:r>
        <w:rPr>
          <w:bCs/>
          <w:szCs w:val="21"/>
        </w:rPr>
        <w:t>d</w:t>
      </w:r>
      <w:r>
        <w:rPr>
          <w:rFonts w:hint="eastAsia"/>
          <w:bCs/>
          <w:szCs w:val="21"/>
        </w:rPr>
        <w:t>---</w:t>
      </w:r>
      <w:r>
        <w:rPr>
          <w:bCs/>
          <w:szCs w:val="21"/>
        </w:rPr>
        <w:t>96孔板光径，0.5cm；</w:t>
      </w:r>
    </w:p>
    <w:p w14:paraId="3A3F104F">
      <w:pPr>
        <w:ind w:firstLine="315" w:firstLineChars="150"/>
        <w:rPr>
          <w:rFonts w:hint="eastAsia"/>
          <w:bCs/>
          <w:szCs w:val="21"/>
        </w:rPr>
      </w:pPr>
      <w:r>
        <w:rPr>
          <w:bCs/>
          <w:szCs w:val="21"/>
        </w:rPr>
        <w:t>V</w:t>
      </w:r>
      <w:r>
        <w:rPr>
          <w:rFonts w:hint="eastAsia"/>
          <w:bCs/>
          <w:szCs w:val="21"/>
        </w:rPr>
        <w:t>---</w:t>
      </w:r>
      <w:r>
        <w:rPr>
          <w:bCs/>
          <w:szCs w:val="21"/>
        </w:rPr>
        <w:t>提取液体积，1 mL；</w:t>
      </w:r>
      <w:r>
        <w:rPr>
          <w:rFonts w:hint="eastAsia"/>
          <w:bCs/>
          <w:szCs w:val="21"/>
        </w:rPr>
        <w:t xml:space="preserve">                      </w:t>
      </w:r>
      <w:r>
        <w:rPr>
          <w:bCs/>
          <w:szCs w:val="21"/>
        </w:rPr>
        <w:t>V</w:t>
      </w:r>
      <w:r>
        <w:rPr>
          <w:rFonts w:hint="eastAsia"/>
          <w:bCs/>
          <w:szCs w:val="21"/>
        </w:rPr>
        <w:t>1---</w:t>
      </w:r>
      <w:r>
        <w:rPr>
          <w:rFonts w:hint="eastAsia"/>
          <w:szCs w:val="21"/>
        </w:rPr>
        <w:t>样本加样</w:t>
      </w:r>
      <w:r>
        <w:rPr>
          <w:szCs w:val="21"/>
        </w:rPr>
        <w:t>体积</w:t>
      </w:r>
      <w:r>
        <w:rPr>
          <w:bCs/>
          <w:szCs w:val="21"/>
        </w:rPr>
        <w:t>，</w:t>
      </w:r>
      <w:r>
        <w:rPr>
          <w:rFonts w:hint="eastAsia"/>
          <w:bCs/>
          <w:szCs w:val="21"/>
        </w:rPr>
        <w:t>1</w:t>
      </w:r>
      <w:r>
        <w:rPr>
          <w:bCs/>
          <w:szCs w:val="21"/>
        </w:rPr>
        <w:t>0μL=0.0</w:t>
      </w:r>
      <w:r>
        <w:rPr>
          <w:rFonts w:hint="eastAsia"/>
          <w:bCs/>
          <w:szCs w:val="21"/>
        </w:rPr>
        <w:t>1</w:t>
      </w:r>
      <w:r>
        <w:rPr>
          <w:bCs/>
          <w:szCs w:val="21"/>
        </w:rPr>
        <w:t xml:space="preserve"> mL；</w:t>
      </w:r>
    </w:p>
    <w:p w14:paraId="4BD28599">
      <w:pPr>
        <w:ind w:firstLine="315" w:firstLineChars="150"/>
        <w:rPr>
          <w:bCs/>
          <w:szCs w:val="21"/>
        </w:rPr>
      </w:pPr>
      <w:r>
        <w:rPr>
          <w:bCs/>
          <w:szCs w:val="21"/>
        </w:rPr>
        <w:t>V</w:t>
      </w:r>
      <w:r>
        <w:rPr>
          <w:rFonts w:hint="eastAsia"/>
          <w:bCs/>
          <w:szCs w:val="21"/>
        </w:rPr>
        <w:t>2---</w:t>
      </w:r>
      <w:r>
        <w:rPr>
          <w:bCs/>
          <w:szCs w:val="21"/>
        </w:rPr>
        <w:t>反应体系总体积，2</w:t>
      </w:r>
      <w:r>
        <w:rPr>
          <w:rFonts w:hint="eastAsia"/>
          <w:bCs/>
          <w:szCs w:val="21"/>
        </w:rPr>
        <w:t>0</w:t>
      </w:r>
      <w:r>
        <w:rPr>
          <w:bCs/>
          <w:szCs w:val="21"/>
        </w:rPr>
        <w:t>0μL=2×10</w:t>
      </w:r>
      <w:r>
        <w:rPr>
          <w:bCs/>
          <w:szCs w:val="21"/>
          <w:vertAlign w:val="superscript"/>
        </w:rPr>
        <w:t>-4</w:t>
      </w:r>
      <w:r>
        <w:rPr>
          <w:bCs/>
          <w:szCs w:val="21"/>
        </w:rPr>
        <w:t xml:space="preserve"> L；</w:t>
      </w:r>
      <w:r>
        <w:rPr>
          <w:rFonts w:hint="eastAsia"/>
          <w:bCs/>
          <w:szCs w:val="21"/>
        </w:rPr>
        <w:t xml:space="preserve">        </w:t>
      </w:r>
      <w:r>
        <w:rPr>
          <w:bCs/>
          <w:szCs w:val="21"/>
        </w:rPr>
        <w:t>T</w:t>
      </w:r>
      <w:r>
        <w:rPr>
          <w:rFonts w:hint="eastAsia"/>
          <w:bCs/>
          <w:szCs w:val="21"/>
        </w:rPr>
        <w:t>---</w:t>
      </w:r>
      <w:r>
        <w:rPr>
          <w:bCs/>
          <w:szCs w:val="21"/>
        </w:rPr>
        <w:t>反应时间，</w:t>
      </w:r>
      <w:r>
        <w:rPr>
          <w:rFonts w:hint="eastAsia"/>
          <w:bCs/>
          <w:szCs w:val="21"/>
        </w:rPr>
        <w:t>5</w:t>
      </w:r>
      <w:r>
        <w:rPr>
          <w:bCs/>
          <w:szCs w:val="21"/>
        </w:rPr>
        <w:t>min</w:t>
      </w:r>
      <w:r>
        <w:rPr>
          <w:rFonts w:hint="eastAsia"/>
          <w:bCs/>
          <w:szCs w:val="21"/>
        </w:rPr>
        <w:t>；</w:t>
      </w:r>
    </w:p>
    <w:p w14:paraId="061933BE">
      <w:pPr>
        <w:ind w:firstLine="315" w:firstLineChars="150"/>
        <w:rPr>
          <w:rFonts w:hint="eastAsia"/>
          <w:bCs/>
          <w:szCs w:val="21"/>
        </w:rPr>
      </w:pPr>
      <w:r>
        <w:rPr>
          <w:bCs/>
          <w:szCs w:val="21"/>
        </w:rPr>
        <w:t>W</w:t>
      </w:r>
      <w:r>
        <w:rPr>
          <w:rFonts w:hint="eastAsia"/>
          <w:bCs/>
          <w:szCs w:val="21"/>
        </w:rPr>
        <w:t>---</w:t>
      </w:r>
      <w:r>
        <w:rPr>
          <w:bCs/>
          <w:szCs w:val="21"/>
        </w:rPr>
        <w:t>样品质量</w:t>
      </w:r>
      <w:r>
        <w:rPr>
          <w:rFonts w:hint="eastAsia"/>
          <w:bCs/>
          <w:szCs w:val="21"/>
        </w:rPr>
        <w:t>，g</w:t>
      </w:r>
      <w:r>
        <w:rPr>
          <w:bCs/>
          <w:szCs w:val="21"/>
        </w:rPr>
        <w:t>；</w:t>
      </w:r>
    </w:p>
    <w:p w14:paraId="53907C2C">
      <w:pPr>
        <w:ind w:firstLine="315" w:firstLineChars="150"/>
        <w:rPr>
          <w:rFonts w:hint="eastAsia"/>
        </w:rPr>
      </w:pPr>
      <w:r>
        <w:rPr>
          <w:bCs/>
          <w:szCs w:val="21"/>
        </w:rPr>
        <w:t>Cpr</w:t>
      </w:r>
      <w:r>
        <w:rPr>
          <w:rFonts w:hint="eastAsia"/>
          <w:bCs/>
          <w:szCs w:val="21"/>
        </w:rPr>
        <w:t>----</w:t>
      </w:r>
      <w:r>
        <w:rPr>
          <w:bCs/>
          <w:szCs w:val="21"/>
        </w:rPr>
        <w:t>上清液蛋白质浓度（mg/mL），</w:t>
      </w:r>
      <w:r>
        <w:rPr>
          <w:rFonts w:hint="eastAsia"/>
        </w:rPr>
        <w:t>建议使用本公司的BCA蛋白含量检测试剂盒。</w:t>
      </w:r>
    </w:p>
    <w:p w14:paraId="31B58A57">
      <w:pPr>
        <w:rPr>
          <w:rFonts w:hint="eastAsia" w:eastAsia="黑体"/>
          <w:bCs/>
          <w:sz w:val="24"/>
          <w:szCs w:val="24"/>
        </w:rPr>
      </w:pPr>
    </w:p>
    <w:p w14:paraId="78AC6889">
      <w:pPr>
        <w:rPr>
          <w:bCs/>
          <w:szCs w:val="21"/>
        </w:rPr>
      </w:pPr>
    </w:p>
    <w:p w14:paraId="22622D43">
      <w:pPr>
        <w:pStyle w:val="2"/>
        <w:bidi w:val="0"/>
        <w:jc w:val="both"/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691" w:right="1162" w:bottom="878" w:left="1208" w:header="11" w:footer="95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F04869">
    <w:pPr>
      <w:pStyle w:val="5"/>
      <w:rPr>
        <w:rFonts w:hint="default"/>
        <w:lang w:val="en-US"/>
      </w:rPr>
    </w:pPr>
    <w:r>
      <w:rPr>
        <w:rFonts w:hint="eastAsia"/>
        <w:lang w:val="en-US" w:eastAsia="zh-CN"/>
      </w:rPr>
      <w:t xml:space="preserve">                                    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F2AE16">
    <w:pPr>
      <w:pStyle w:val="6"/>
      <w:pBdr>
        <w:bottom w:val="none" w:color="auto" w:sz="0" w:space="1"/>
      </w:pBdr>
      <w:tabs>
        <w:tab w:val="left" w:pos="3031"/>
        <w:tab w:val="clear" w:pos="4153"/>
      </w:tabs>
      <w:jc w:val="left"/>
      <w:rPr>
        <w:rFonts w:hint="eastAsia"/>
        <w:lang w:val="en-US" w:eastAsia="zh-CN"/>
      </w:rPr>
    </w:pPr>
    <w:r>
      <w:rPr>
        <w:rFonts w:hint="eastAsia"/>
        <w:lang w:eastAsia="zh-CN"/>
      </w:rPr>
      <w:tab/>
    </w:r>
    <w:r>
      <w:rPr>
        <w:rFonts w:hint="eastAsia"/>
        <w:lang w:val="en-US" w:eastAsia="zh-CN"/>
      </w:rPr>
      <w:t xml:space="preserve">                    </w:t>
    </w:r>
  </w:p>
  <w:p w14:paraId="487ED072">
    <w:pPr>
      <w:pStyle w:val="6"/>
      <w:pBdr>
        <w:bottom w:val="none" w:color="auto" w:sz="0" w:space="1"/>
      </w:pBdr>
      <w:tabs>
        <w:tab w:val="left" w:pos="3031"/>
        <w:tab w:val="clear" w:pos="4153"/>
      </w:tabs>
      <w:ind w:firstLine="4680" w:firstLineChars="2600"/>
      <w:jc w:val="left"/>
      <w:rPr>
        <w:rFonts w:hint="eastAsia"/>
        <w:lang w:val="en-US" w:eastAsia="zh-CN"/>
      </w:rPr>
    </w:pPr>
  </w:p>
  <w:p w14:paraId="6D6F3AB2">
    <w:pPr>
      <w:pStyle w:val="6"/>
      <w:pBdr>
        <w:bottom w:val="none" w:color="auto" w:sz="0" w:space="1"/>
      </w:pBdr>
      <w:tabs>
        <w:tab w:val="left" w:pos="3031"/>
        <w:tab w:val="clear" w:pos="4153"/>
      </w:tabs>
      <w:ind w:firstLine="4680" w:firstLineChars="2600"/>
      <w:jc w:val="left"/>
      <w:rPr>
        <w:rFonts w:hint="default"/>
        <w:lang w:val="en-US" w:eastAsia="zh-CN"/>
      </w:rPr>
    </w:pPr>
    <w:r>
      <w:rPr>
        <w:rFonts w:hint="eastAsia"/>
        <w:lang w:val="en-US" w:eastAsia="zh-CN"/>
      </w:rPr>
      <w:t xml:space="preserve">           </w:t>
    </w:r>
  </w:p>
  <w:p w14:paraId="3127D95E">
    <w:pPr>
      <w:pStyle w:val="6"/>
      <w:keepNext w:val="0"/>
      <w:keepLines w:val="0"/>
      <w:pageBreakBefore w:val="0"/>
      <w:widowControl w:val="0"/>
      <w:pBdr>
        <w:bottom w:val="none" w:color="auto" w:sz="0" w:space="1"/>
      </w:pBdr>
      <w:tabs>
        <w:tab w:val="left" w:pos="3031"/>
        <w:tab w:val="clear" w:pos="4153"/>
      </w:tabs>
      <w:kinsoku/>
      <w:wordWrap/>
      <w:overflowPunct/>
      <w:topLinePunct w:val="0"/>
      <w:autoSpaceDE/>
      <w:autoSpaceDN/>
      <w:bidi w:val="0"/>
      <w:adjustRightInd/>
      <w:snapToGrid w:val="0"/>
      <w:spacing w:line="360" w:lineRule="auto"/>
      <w:ind w:firstLine="7380" w:firstLineChars="4100"/>
      <w:jc w:val="left"/>
      <w:textAlignment w:val="auto"/>
      <w:rPr>
        <w:rFonts w:hint="eastAsia" w:asciiTheme="minorEastAsia" w:hAnsiTheme="minorEastAsia" w:eastAsiaTheme="minorEastAsia" w:cstheme="minorEastAsia"/>
        <w:b w:val="0"/>
        <w:bCs w:val="0"/>
        <w:color w:val="1C981C"/>
        <w:sz w:val="18"/>
        <w:szCs w:val="18"/>
        <w:lang w:val="en-US" w:eastAsia="zh-CN"/>
      </w:rPr>
    </w:pPr>
    <w:r>
      <w:rPr>
        <w:rFonts w:hint="eastAsia" w:asciiTheme="minorEastAsia" w:hAnsiTheme="minorEastAsia" w:eastAsiaTheme="minorEastAsia" w:cstheme="minorEastAsia"/>
        <w:b w:val="0"/>
        <w:bCs w:val="0"/>
        <w:color w:val="1C981C"/>
        <w:sz w:val="18"/>
        <w:szCs w:val="18"/>
        <w:lang w:val="en-US" w:eastAsia="zh-CN"/>
      </w:rPr>
      <w:t xml:space="preserve"> </w:t>
    </w:r>
    <w:r>
      <w:rPr>
        <w:rFonts w:hint="eastAsia" w:asciiTheme="minorEastAsia" w:hAnsiTheme="minorEastAsia" w:cstheme="minorEastAsia"/>
        <w:b w:val="0"/>
        <w:bCs w:val="0"/>
        <w:color w:val="1C981C"/>
        <w:sz w:val="18"/>
        <w:szCs w:val="18"/>
        <w:lang w:val="en-US" w:eastAsia="zh-CN"/>
      </w:rPr>
      <w:t xml:space="preserve">              </w:t>
    </w:r>
    <w:r>
      <w:rPr>
        <w:rFonts w:hint="eastAsia" w:asciiTheme="minorEastAsia" w:hAnsiTheme="minorEastAsia" w:eastAsiaTheme="minorEastAsia" w:cstheme="minorEastAsia"/>
        <w:b w:val="0"/>
        <w:bCs w:val="0"/>
        <w:color w:val="1C981C"/>
        <w:sz w:val="18"/>
        <w:szCs w:val="18"/>
        <w:lang w:val="en-US" w:eastAsia="zh-CN"/>
      </w:rPr>
      <w:t xml:space="preserve">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E26F1FA"/>
    <w:multiLevelType w:val="singleLevel"/>
    <w:tmpl w:val="6E26F1FA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g5M2JkMDYxNjZkYTE5ODRhZTM4YmNjYTM3Mzg5YzYifQ=="/>
  </w:docVars>
  <w:rsids>
    <w:rsidRoot w:val="54D11351"/>
    <w:rsid w:val="01200F24"/>
    <w:rsid w:val="03DB0660"/>
    <w:rsid w:val="041B6E48"/>
    <w:rsid w:val="054D2E98"/>
    <w:rsid w:val="071163A2"/>
    <w:rsid w:val="078A156F"/>
    <w:rsid w:val="08202AE5"/>
    <w:rsid w:val="084A1910"/>
    <w:rsid w:val="08786623"/>
    <w:rsid w:val="08915791"/>
    <w:rsid w:val="097F383C"/>
    <w:rsid w:val="09DC7F62"/>
    <w:rsid w:val="0A5A1386"/>
    <w:rsid w:val="0B470389"/>
    <w:rsid w:val="0BA8707A"/>
    <w:rsid w:val="0CE868F1"/>
    <w:rsid w:val="0D1D65A7"/>
    <w:rsid w:val="0D244E26"/>
    <w:rsid w:val="0D775417"/>
    <w:rsid w:val="0D9C4F94"/>
    <w:rsid w:val="0E48366F"/>
    <w:rsid w:val="100B5E29"/>
    <w:rsid w:val="100E537E"/>
    <w:rsid w:val="12085F6C"/>
    <w:rsid w:val="129C545E"/>
    <w:rsid w:val="14067033"/>
    <w:rsid w:val="14FB2389"/>
    <w:rsid w:val="150C0679"/>
    <w:rsid w:val="15F76A9F"/>
    <w:rsid w:val="1606699B"/>
    <w:rsid w:val="16ED44DA"/>
    <w:rsid w:val="17714C16"/>
    <w:rsid w:val="17CC40F0"/>
    <w:rsid w:val="184B5125"/>
    <w:rsid w:val="186941CE"/>
    <w:rsid w:val="190A3122"/>
    <w:rsid w:val="1B1A7868"/>
    <w:rsid w:val="1B3A5814"/>
    <w:rsid w:val="1B8A5D91"/>
    <w:rsid w:val="1B9211AC"/>
    <w:rsid w:val="1C100B9B"/>
    <w:rsid w:val="1C33473D"/>
    <w:rsid w:val="1C3E79EA"/>
    <w:rsid w:val="1D927B8A"/>
    <w:rsid w:val="1E6B6EAE"/>
    <w:rsid w:val="1E8F7C25"/>
    <w:rsid w:val="1F743D6E"/>
    <w:rsid w:val="2091237A"/>
    <w:rsid w:val="20A420AE"/>
    <w:rsid w:val="21B61DE3"/>
    <w:rsid w:val="225C3164"/>
    <w:rsid w:val="23D375F7"/>
    <w:rsid w:val="24AB17EA"/>
    <w:rsid w:val="251B66B7"/>
    <w:rsid w:val="2579737F"/>
    <w:rsid w:val="265359DC"/>
    <w:rsid w:val="2744415C"/>
    <w:rsid w:val="275C700E"/>
    <w:rsid w:val="276F58C3"/>
    <w:rsid w:val="27AC1848"/>
    <w:rsid w:val="289E3886"/>
    <w:rsid w:val="29554E41"/>
    <w:rsid w:val="296879F1"/>
    <w:rsid w:val="29D50DD1"/>
    <w:rsid w:val="2A0E67EA"/>
    <w:rsid w:val="2A111E36"/>
    <w:rsid w:val="2A2658E2"/>
    <w:rsid w:val="2AA902C1"/>
    <w:rsid w:val="2AFC4894"/>
    <w:rsid w:val="2BAA43B2"/>
    <w:rsid w:val="2BE43400"/>
    <w:rsid w:val="2C425D39"/>
    <w:rsid w:val="2D265BF9"/>
    <w:rsid w:val="2E010415"/>
    <w:rsid w:val="2FE54DC9"/>
    <w:rsid w:val="300A35B0"/>
    <w:rsid w:val="30134B5A"/>
    <w:rsid w:val="309462CA"/>
    <w:rsid w:val="30F243ED"/>
    <w:rsid w:val="31FF56A1"/>
    <w:rsid w:val="33282DB8"/>
    <w:rsid w:val="3391420F"/>
    <w:rsid w:val="348A1163"/>
    <w:rsid w:val="34A52E51"/>
    <w:rsid w:val="35AD335B"/>
    <w:rsid w:val="35CF0751"/>
    <w:rsid w:val="35E11256"/>
    <w:rsid w:val="369938DF"/>
    <w:rsid w:val="36B5678E"/>
    <w:rsid w:val="36B85E2F"/>
    <w:rsid w:val="36C4095C"/>
    <w:rsid w:val="36E83A97"/>
    <w:rsid w:val="36EC1C61"/>
    <w:rsid w:val="37F7266B"/>
    <w:rsid w:val="388F1ED1"/>
    <w:rsid w:val="390F1C37"/>
    <w:rsid w:val="398048E2"/>
    <w:rsid w:val="3AD3166C"/>
    <w:rsid w:val="3C237ED3"/>
    <w:rsid w:val="3C7617C9"/>
    <w:rsid w:val="3D6604CA"/>
    <w:rsid w:val="3E065986"/>
    <w:rsid w:val="40EB11DB"/>
    <w:rsid w:val="422F6F09"/>
    <w:rsid w:val="424D6740"/>
    <w:rsid w:val="42F14EE5"/>
    <w:rsid w:val="42F26851"/>
    <w:rsid w:val="433C3EDE"/>
    <w:rsid w:val="435B43F6"/>
    <w:rsid w:val="43A01E09"/>
    <w:rsid w:val="44BD75A3"/>
    <w:rsid w:val="451F4C0D"/>
    <w:rsid w:val="46184820"/>
    <w:rsid w:val="462C02CC"/>
    <w:rsid w:val="46D5626E"/>
    <w:rsid w:val="47CA38F8"/>
    <w:rsid w:val="47EE2F8C"/>
    <w:rsid w:val="49E2099E"/>
    <w:rsid w:val="4A01204F"/>
    <w:rsid w:val="4A4F6337"/>
    <w:rsid w:val="4A563B69"/>
    <w:rsid w:val="4A6C632B"/>
    <w:rsid w:val="4A8151CC"/>
    <w:rsid w:val="4A934476"/>
    <w:rsid w:val="4AA523FB"/>
    <w:rsid w:val="4B3A64C8"/>
    <w:rsid w:val="4BFF5B3B"/>
    <w:rsid w:val="4C9170DB"/>
    <w:rsid w:val="4C9B09F1"/>
    <w:rsid w:val="50590CD9"/>
    <w:rsid w:val="50D15CF8"/>
    <w:rsid w:val="52F061DD"/>
    <w:rsid w:val="53B813F1"/>
    <w:rsid w:val="542B039D"/>
    <w:rsid w:val="54C81203"/>
    <w:rsid w:val="54D11351"/>
    <w:rsid w:val="5512068D"/>
    <w:rsid w:val="565619DD"/>
    <w:rsid w:val="567078CA"/>
    <w:rsid w:val="568E01E7"/>
    <w:rsid w:val="570F757A"/>
    <w:rsid w:val="58164938"/>
    <w:rsid w:val="586818E8"/>
    <w:rsid w:val="59084281"/>
    <w:rsid w:val="593A6404"/>
    <w:rsid w:val="599B3347"/>
    <w:rsid w:val="5A3E0D63"/>
    <w:rsid w:val="5A4E5DAA"/>
    <w:rsid w:val="5B4041A6"/>
    <w:rsid w:val="5B94004E"/>
    <w:rsid w:val="5C4A2E02"/>
    <w:rsid w:val="5C607829"/>
    <w:rsid w:val="5E506319"/>
    <w:rsid w:val="5ED13367"/>
    <w:rsid w:val="5F916153"/>
    <w:rsid w:val="6062610E"/>
    <w:rsid w:val="60ED3BF0"/>
    <w:rsid w:val="61707DCC"/>
    <w:rsid w:val="62AE2854"/>
    <w:rsid w:val="63312626"/>
    <w:rsid w:val="63511692"/>
    <w:rsid w:val="63DA0F0F"/>
    <w:rsid w:val="64195594"/>
    <w:rsid w:val="66CD4D5B"/>
    <w:rsid w:val="67B635CB"/>
    <w:rsid w:val="67B7628A"/>
    <w:rsid w:val="67CC0B6F"/>
    <w:rsid w:val="68540A5A"/>
    <w:rsid w:val="68776D2D"/>
    <w:rsid w:val="69EA3529"/>
    <w:rsid w:val="6A3B3D8A"/>
    <w:rsid w:val="6AF02DC7"/>
    <w:rsid w:val="6B232928"/>
    <w:rsid w:val="6C281E78"/>
    <w:rsid w:val="6C4433CA"/>
    <w:rsid w:val="6C9D0D2C"/>
    <w:rsid w:val="6DA6495C"/>
    <w:rsid w:val="6DAD4F9F"/>
    <w:rsid w:val="6E2C05BA"/>
    <w:rsid w:val="6EF4232C"/>
    <w:rsid w:val="702D5137"/>
    <w:rsid w:val="70545BA6"/>
    <w:rsid w:val="71F65685"/>
    <w:rsid w:val="75866801"/>
    <w:rsid w:val="75E83018"/>
    <w:rsid w:val="760E2166"/>
    <w:rsid w:val="76C05D43"/>
    <w:rsid w:val="78C25DA2"/>
    <w:rsid w:val="78C87131"/>
    <w:rsid w:val="79935991"/>
    <w:rsid w:val="79DC2E94"/>
    <w:rsid w:val="79FE105C"/>
    <w:rsid w:val="7A187C44"/>
    <w:rsid w:val="7B42766E"/>
    <w:rsid w:val="7B937ECA"/>
    <w:rsid w:val="7C0B180E"/>
    <w:rsid w:val="7C5C7201"/>
    <w:rsid w:val="7CAB4D9F"/>
    <w:rsid w:val="7F62208D"/>
    <w:rsid w:val="7FBB3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ind w:firstLine="0" w:firstLineChars="0"/>
      <w:jc w:val="both"/>
    </w:pPr>
    <w:rPr>
      <w:rFonts w:ascii="Times New Roman" w:hAnsi="Times New Roman" w:eastAsia="等线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4"/>
    <w:autoRedefine/>
    <w:qFormat/>
    <w:uiPriority w:val="0"/>
    <w:pPr>
      <w:keepNext/>
      <w:keepLines/>
      <w:spacing w:before="100" w:beforeLines="0" w:beforeAutospacing="0" w:after="100" w:afterLines="0" w:afterAutospacing="0" w:line="480" w:lineRule="exact"/>
      <w:jc w:val="center"/>
      <w:outlineLvl w:val="0"/>
    </w:pPr>
    <w:rPr>
      <w:rFonts w:eastAsia="等线"/>
      <w:b/>
      <w:kern w:val="44"/>
      <w:sz w:val="32"/>
    </w:rPr>
  </w:style>
  <w:style w:type="paragraph" w:styleId="3">
    <w:name w:val="heading 2"/>
    <w:basedOn w:val="1"/>
    <w:next w:val="1"/>
    <w:autoRedefine/>
    <w:qFormat/>
    <w:uiPriority w:val="9"/>
    <w:pPr>
      <w:keepNext/>
      <w:keepLines/>
      <w:widowControl w:val="0"/>
      <w:adjustRightInd/>
      <w:snapToGrid/>
      <w:spacing w:before="100" w:after="100" w:line="480" w:lineRule="exact"/>
      <w:jc w:val="left"/>
      <w:outlineLvl w:val="1"/>
    </w:pPr>
    <w:rPr>
      <w:rFonts w:ascii="Cambria" w:hAnsi="Cambria" w:eastAsia="等线"/>
      <w:b/>
      <w:bCs/>
      <w:sz w:val="22"/>
      <w:szCs w:val="32"/>
    </w:rPr>
  </w:style>
  <w:style w:type="character" w:default="1" w:styleId="9">
    <w:name w:val="Default Paragraph Font"/>
    <w:autoRedefine/>
    <w:semiHidden/>
    <w:qFormat/>
    <w:uiPriority w:val="0"/>
  </w:style>
  <w:style w:type="table" w:default="1" w:styleId="7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semiHidden/>
    <w:qFormat/>
    <w:uiPriority w:val="0"/>
    <w:rPr>
      <w:rFonts w:ascii="微软雅黑" w:hAnsi="微软雅黑" w:eastAsia="微软雅黑" w:cs="微软雅黑"/>
      <w:sz w:val="24"/>
      <w:szCs w:val="24"/>
      <w:lang w:val="en-US" w:eastAsia="en-US" w:bidi="ar-SA"/>
    </w:rPr>
  </w:style>
  <w:style w:type="paragraph" w:styleId="5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8">
    <w:name w:val="Table Grid"/>
    <w:basedOn w:val="7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Strong"/>
    <w:autoRedefine/>
    <w:qFormat/>
    <w:uiPriority w:val="22"/>
    <w:rPr>
      <w:b/>
    </w:rPr>
  </w:style>
  <w:style w:type="character" w:styleId="11">
    <w:name w:val="Hyperlink"/>
    <w:basedOn w:val="9"/>
    <w:autoRedefine/>
    <w:qFormat/>
    <w:uiPriority w:val="0"/>
    <w:rPr>
      <w:color w:val="0000FF"/>
      <w:u w:val="single"/>
    </w:rPr>
  </w:style>
  <w:style w:type="character" w:customStyle="1" w:styleId="12">
    <w:name w:val="font31"/>
    <w:basedOn w:val="9"/>
    <w:autoRedefine/>
    <w:qFormat/>
    <w:uiPriority w:val="0"/>
    <w:rPr>
      <w:rFonts w:hint="default" w:ascii="Arial" w:hAnsi="Arial" w:cs="Arial"/>
      <w:color w:val="000000"/>
      <w:sz w:val="22"/>
      <w:szCs w:val="22"/>
      <w:u w:val="none"/>
    </w:rPr>
  </w:style>
  <w:style w:type="character" w:customStyle="1" w:styleId="13">
    <w:name w:val="font11"/>
    <w:basedOn w:val="9"/>
    <w:autoRedefine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4">
    <w:name w:val="标题 1 Char"/>
    <w:link w:val="2"/>
    <w:autoRedefine/>
    <w:qFormat/>
    <w:uiPriority w:val="0"/>
    <w:rPr>
      <w:rFonts w:eastAsia="等线"/>
      <w:b/>
      <w:kern w:val="44"/>
      <w:sz w:val="32"/>
    </w:rPr>
  </w:style>
  <w:style w:type="paragraph" w:customStyle="1" w:styleId="15">
    <w:name w:val="Table Text"/>
    <w:basedOn w:val="1"/>
    <w:autoRedefine/>
    <w:semiHidden/>
    <w:qFormat/>
    <w:uiPriority w:val="0"/>
    <w:rPr>
      <w:rFonts w:ascii="微软雅黑" w:hAnsi="微软雅黑" w:eastAsia="微软雅黑" w:cs="微软雅黑"/>
      <w:sz w:val="18"/>
      <w:szCs w:val="18"/>
      <w:lang w:val="en-US" w:eastAsia="en-US" w:bidi="ar-SA"/>
    </w:rPr>
  </w:style>
  <w:style w:type="table" w:customStyle="1" w:styleId="16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1279</Words>
  <Characters>1808</Characters>
  <Lines>0</Lines>
  <Paragraphs>0</Paragraphs>
  <TotalTime>0</TotalTime>
  <ScaleCrop>false</ScaleCrop>
  <LinksUpToDate>false</LinksUpToDate>
  <CharactersWithSpaces>1878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2019-10-22T05:53:00Z</dcterms:created>
  <dc:creator>上海西酶生物科技有限公司</dc:creator>
  <cp:lastModifiedBy>赣榆</cp:lastModifiedBy>
  <dcterms:modified xsi:type="dcterms:W3CDTF">2025-03-05T04:24:18Z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AA809F7E95224578B8B78ADA26B52BE7_13</vt:lpwstr>
  </property>
  <property fmtid="{D5CDD505-2E9C-101B-9397-08002B2CF9AE}" pid="4" name="KSOTemplateDocerSaveRecord">
    <vt:lpwstr>eyJoZGlkIjoiZjE5ZDE4ZmFlMWZiYWJkODcwYmQ1ZTEwODgyZjhlZTYiLCJ1c2VySWQiOiIxMjk0MjQxMzczIn0=</vt:lpwstr>
  </property>
</Properties>
</file>