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charts/chart1.xml" ContentType="application/vnd.openxmlformats-officedocument.drawingml.chart+xml"/>
  <Override PartName="/word/document.xml" ContentType="application/vnd.openxmlformats-officedocument.wordprocessingml.document.main+xml"/>
  <Override PartName="/word/drawings/drawing1.xml" ContentType="application/vnd.openxmlformats-officedocument.drawingml.chartshap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249A0B1">
      <w:pPr>
        <w:ind w:left="5897" w:hanging="5896" w:hangingChars="2106"/>
        <w:jc w:val="center"/>
        <w:rPr>
          <w:rFonts w:eastAsia="黑体"/>
          <w:bCs/>
          <w:sz w:val="28"/>
          <w:szCs w:val="28"/>
        </w:rPr>
      </w:pPr>
      <w:r>
        <w:rPr>
          <w:rFonts w:eastAsia="黑体"/>
          <w:bCs/>
          <w:sz w:val="28"/>
          <w:szCs w:val="28"/>
        </w:rPr>
        <w:t>还原型谷胱甘肽（reduced glutathione, GSH）含量试剂盒说明书</w:t>
      </w:r>
    </w:p>
    <w:p w14:paraId="507DB2C7">
      <w:pPr>
        <w:ind w:left="5054" w:hanging="5054" w:hangingChars="2106"/>
        <w:jc w:val="center"/>
        <w:rPr>
          <w:rFonts w:eastAsia="黑体"/>
          <w:bCs/>
          <w:sz w:val="24"/>
          <w:szCs w:val="24"/>
        </w:rPr>
      </w:pPr>
      <w:r>
        <w:rPr>
          <w:rFonts w:eastAsia="黑体"/>
          <w:bCs/>
          <w:sz w:val="24"/>
          <w:szCs w:val="24"/>
        </w:rPr>
        <w:t>（货号：</w:t>
      </w:r>
      <w:r>
        <w:rPr>
          <w:rFonts w:hint="eastAsia" w:eastAsia="黑体"/>
          <w:bCs/>
          <w:sz w:val="24"/>
          <w:szCs w:val="24"/>
          <w:lang w:val="en-US" w:eastAsia="zh-CN"/>
        </w:rPr>
        <w:t>XM</w:t>
      </w:r>
      <w:r>
        <w:rPr>
          <w:rFonts w:hint="eastAsia" w:eastAsia="黑体"/>
          <w:bCs/>
          <w:sz w:val="24"/>
          <w:szCs w:val="24"/>
        </w:rPr>
        <w:t>-W-</w:t>
      </w:r>
      <w:r>
        <w:rPr>
          <w:rFonts w:hint="eastAsia" w:eastAsia="黑体"/>
          <w:bCs/>
          <w:sz w:val="24"/>
          <w:szCs w:val="24"/>
          <w:lang w:val="en-US" w:eastAsia="zh-CN"/>
        </w:rPr>
        <w:t>AS</w:t>
      </w:r>
      <w:r>
        <w:rPr>
          <w:rFonts w:hint="eastAsia" w:eastAsia="黑体"/>
          <w:bCs/>
          <w:sz w:val="24"/>
          <w:szCs w:val="24"/>
        </w:rPr>
        <w:t>00</w:t>
      </w:r>
      <w:r>
        <w:rPr>
          <w:rFonts w:hint="eastAsia" w:eastAsia="黑体"/>
          <w:bCs/>
          <w:sz w:val="24"/>
          <w:szCs w:val="24"/>
          <w:lang w:val="en-US" w:eastAsia="zh-CN"/>
        </w:rPr>
        <w:t>5</w:t>
      </w:r>
      <w:bookmarkStart w:id="0" w:name="_GoBack"/>
      <w:bookmarkEnd w:id="0"/>
      <w:r>
        <w:rPr>
          <w:rFonts w:eastAsia="黑体"/>
          <w:bCs/>
          <w:sz w:val="24"/>
          <w:szCs w:val="24"/>
        </w:rPr>
        <w:t xml:space="preserve">  微板法 96样）</w:t>
      </w:r>
    </w:p>
    <w:p w14:paraId="52236EAE">
      <w:pPr>
        <w:spacing w:line="360" w:lineRule="auto"/>
        <w:rPr>
          <w:rFonts w:hint="eastAsia" w:ascii="黑体" w:eastAsia="黑体"/>
          <w:sz w:val="24"/>
          <w:szCs w:val="24"/>
        </w:rPr>
      </w:pPr>
      <w:r>
        <w:rPr>
          <w:rFonts w:hint="eastAsia" w:ascii="黑体" w:eastAsia="黑体"/>
          <w:sz w:val="24"/>
          <w:szCs w:val="24"/>
        </w:rPr>
        <w:t xml:space="preserve">一、产品简介： </w:t>
      </w:r>
    </w:p>
    <w:p w14:paraId="17E26BE3">
      <w:pPr>
        <w:ind w:left="105" w:leftChars="50" w:firstLine="315" w:firstLineChars="150"/>
        <w:rPr>
          <w:szCs w:val="21"/>
        </w:rPr>
      </w:pPr>
      <w:r>
        <w:rPr>
          <w:rFonts w:hint="eastAsia"/>
          <w:szCs w:val="21"/>
        </w:rPr>
        <w:t>还原型谷胱甘肽</w:t>
      </w:r>
      <w:r>
        <w:rPr>
          <w:szCs w:val="21"/>
        </w:rPr>
        <w:t>GSH是细胞内最主要的抗氧化巯基物质，在抗氧化、蛋白质巯基保护和氨基酸跨膜运输等中具有重要作用。还原型与氧化型比值（GSH/GSSG）是细胞氧化还原状态的主要动态指标。因此，测定细胞内GSH和GSSG含量以及GSH/GSSG比值，能够很好地反映细胞所处的氧化还原状态。</w:t>
      </w:r>
    </w:p>
    <w:p w14:paraId="433CDF3F">
      <w:pPr>
        <w:ind w:left="105" w:leftChars="50" w:firstLine="315" w:firstLineChars="150"/>
        <w:rPr>
          <w:szCs w:val="21"/>
        </w:rPr>
      </w:pPr>
      <w:r>
        <w:rPr>
          <w:rFonts w:hint="eastAsia"/>
          <w:szCs w:val="21"/>
        </w:rPr>
        <w:t>还原型谷胱甘肽</w:t>
      </w:r>
      <w:r>
        <w:rPr>
          <w:szCs w:val="21"/>
        </w:rPr>
        <w:t>GSH</w:t>
      </w:r>
      <w:r>
        <w:rPr>
          <w:rFonts w:hint="eastAsia"/>
          <w:szCs w:val="21"/>
        </w:rPr>
        <w:t>与</w:t>
      </w:r>
      <w:r>
        <w:rPr>
          <w:szCs w:val="21"/>
        </w:rPr>
        <w:t>DTNB与反应生成复合物，在412nm处有特征吸收峰；其吸光度与GSH含量成正比。</w:t>
      </w:r>
    </w:p>
    <w:p w14:paraId="4010820A">
      <w:pPr>
        <w:spacing w:line="360" w:lineRule="auto"/>
        <w:rPr>
          <w:rFonts w:hint="eastAsia" w:ascii="黑体" w:eastAsia="黑体"/>
          <w:sz w:val="24"/>
          <w:szCs w:val="24"/>
        </w:rPr>
      </w:pPr>
      <w:r>
        <w:rPr>
          <w:rFonts w:hint="eastAsia" w:ascii="黑体" w:eastAsia="黑体"/>
          <w:sz w:val="24"/>
          <w:szCs w:val="24"/>
        </w:rPr>
        <w:t>二、试剂盒组分与配制：</w:t>
      </w:r>
    </w:p>
    <w:tbl>
      <w:tblPr>
        <w:tblStyle w:val="7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23"/>
        <w:gridCol w:w="1918"/>
        <w:gridCol w:w="1223"/>
        <w:gridCol w:w="2809"/>
      </w:tblGrid>
      <w:tr w14:paraId="72AEF68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1223" w:type="dxa"/>
            <w:noWrap w:val="0"/>
            <w:vAlign w:val="center"/>
          </w:tcPr>
          <w:p w14:paraId="72A01D17">
            <w:pPr>
              <w:jc w:val="center"/>
              <w:rPr>
                <w:rFonts w:hint="eastAsia" w:hAnsi="宋体"/>
                <w:szCs w:val="21"/>
              </w:rPr>
            </w:pPr>
            <w:r>
              <w:rPr>
                <w:rFonts w:hint="eastAsia" w:hAnsi="宋体"/>
                <w:szCs w:val="21"/>
              </w:rPr>
              <w:t>试剂名称</w:t>
            </w:r>
          </w:p>
        </w:tc>
        <w:tc>
          <w:tcPr>
            <w:tcW w:w="1918" w:type="dxa"/>
            <w:noWrap w:val="0"/>
            <w:vAlign w:val="center"/>
          </w:tcPr>
          <w:p w14:paraId="1FF95522">
            <w:pPr>
              <w:jc w:val="center"/>
              <w:rPr>
                <w:rFonts w:hint="eastAsia" w:hAnsi="宋体"/>
                <w:szCs w:val="21"/>
              </w:rPr>
            </w:pPr>
            <w:r>
              <w:rPr>
                <w:rFonts w:hint="eastAsia" w:hAnsi="宋体"/>
                <w:szCs w:val="21"/>
              </w:rPr>
              <w:t>规格</w:t>
            </w:r>
          </w:p>
        </w:tc>
        <w:tc>
          <w:tcPr>
            <w:tcW w:w="1223" w:type="dxa"/>
            <w:noWrap w:val="0"/>
            <w:vAlign w:val="center"/>
          </w:tcPr>
          <w:p w14:paraId="40485D36">
            <w:pPr>
              <w:jc w:val="center"/>
              <w:rPr>
                <w:rFonts w:hint="eastAsia" w:hAnsi="宋体"/>
                <w:szCs w:val="21"/>
              </w:rPr>
            </w:pPr>
            <w:r>
              <w:rPr>
                <w:rFonts w:hint="eastAsia" w:hAnsi="宋体"/>
                <w:szCs w:val="21"/>
              </w:rPr>
              <w:t>保存要求</w:t>
            </w:r>
          </w:p>
        </w:tc>
        <w:tc>
          <w:tcPr>
            <w:tcW w:w="2809" w:type="dxa"/>
            <w:noWrap w:val="0"/>
            <w:vAlign w:val="top"/>
          </w:tcPr>
          <w:p w14:paraId="32001B6C">
            <w:pPr>
              <w:jc w:val="center"/>
              <w:rPr>
                <w:rFonts w:hint="eastAsia" w:hAnsi="宋体"/>
                <w:szCs w:val="21"/>
              </w:rPr>
            </w:pPr>
            <w:r>
              <w:rPr>
                <w:rFonts w:hint="eastAsia" w:hAnsi="宋体"/>
                <w:szCs w:val="21"/>
              </w:rPr>
              <w:t>备注</w:t>
            </w:r>
          </w:p>
        </w:tc>
      </w:tr>
      <w:tr w14:paraId="72366A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1223" w:type="dxa"/>
            <w:noWrap w:val="0"/>
            <w:vAlign w:val="center"/>
          </w:tcPr>
          <w:p w14:paraId="0A848FFB">
            <w:pPr>
              <w:jc w:val="center"/>
              <w:rPr>
                <w:rFonts w:hAnsi="宋体"/>
                <w:szCs w:val="21"/>
              </w:rPr>
            </w:pPr>
            <w:r>
              <w:rPr>
                <w:rFonts w:hint="eastAsia" w:hAnsi="宋体"/>
                <w:szCs w:val="21"/>
              </w:rPr>
              <w:t>提取液</w:t>
            </w:r>
          </w:p>
        </w:tc>
        <w:tc>
          <w:tcPr>
            <w:tcW w:w="1918" w:type="dxa"/>
            <w:noWrap w:val="0"/>
            <w:vAlign w:val="center"/>
          </w:tcPr>
          <w:p w14:paraId="7E7BCCDD">
            <w:pPr>
              <w:jc w:val="center"/>
              <w:rPr>
                <w:rFonts w:hAnsi="宋体"/>
                <w:szCs w:val="21"/>
              </w:rPr>
            </w:pPr>
            <w:r>
              <w:rPr>
                <w:rFonts w:hAnsi="宋体"/>
                <w:szCs w:val="21"/>
              </w:rPr>
              <w:t>液体</w:t>
            </w:r>
            <w:r>
              <w:rPr>
                <w:rFonts w:hint="eastAsia" w:hAnsi="宋体"/>
                <w:szCs w:val="21"/>
              </w:rPr>
              <w:t>100mL</w:t>
            </w:r>
            <w:r>
              <w:rPr>
                <w:szCs w:val="21"/>
              </w:rPr>
              <w:t>×1</w:t>
            </w:r>
            <w:r>
              <w:rPr>
                <w:rFonts w:hAnsi="宋体"/>
                <w:szCs w:val="21"/>
              </w:rPr>
              <w:t>瓶</w:t>
            </w:r>
          </w:p>
        </w:tc>
        <w:tc>
          <w:tcPr>
            <w:tcW w:w="1223" w:type="dxa"/>
            <w:noWrap w:val="0"/>
            <w:vAlign w:val="center"/>
          </w:tcPr>
          <w:p w14:paraId="2EB0B956">
            <w:pPr>
              <w:jc w:val="center"/>
              <w:rPr>
                <w:rFonts w:hAnsi="宋体"/>
                <w:szCs w:val="21"/>
              </w:rPr>
            </w:pPr>
            <w:r>
              <w:rPr>
                <w:szCs w:val="21"/>
              </w:rPr>
              <w:t>4</w:t>
            </w:r>
            <w:r>
              <w:rPr>
                <w:rFonts w:hAnsi="宋体"/>
                <w:szCs w:val="21"/>
              </w:rPr>
              <w:t>℃保存</w:t>
            </w:r>
          </w:p>
        </w:tc>
        <w:tc>
          <w:tcPr>
            <w:tcW w:w="2809" w:type="dxa"/>
            <w:noWrap w:val="0"/>
            <w:vAlign w:val="top"/>
          </w:tcPr>
          <w:p w14:paraId="256722F0">
            <w:pPr>
              <w:jc w:val="center"/>
              <w:rPr>
                <w:szCs w:val="21"/>
              </w:rPr>
            </w:pPr>
          </w:p>
        </w:tc>
      </w:tr>
      <w:tr w14:paraId="46A3FD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1223" w:type="dxa"/>
            <w:noWrap w:val="0"/>
            <w:vAlign w:val="center"/>
          </w:tcPr>
          <w:p w14:paraId="429E51ED">
            <w:pPr>
              <w:jc w:val="center"/>
              <w:rPr>
                <w:rFonts w:hAnsi="宋体"/>
                <w:szCs w:val="21"/>
              </w:rPr>
            </w:pPr>
            <w:r>
              <w:rPr>
                <w:rFonts w:hAnsi="宋体"/>
                <w:szCs w:val="21"/>
              </w:rPr>
              <w:t>试剂</w:t>
            </w:r>
            <w:r>
              <w:rPr>
                <w:rFonts w:hint="eastAsia" w:hAnsi="宋体"/>
                <w:szCs w:val="21"/>
              </w:rPr>
              <w:t>一</w:t>
            </w:r>
          </w:p>
        </w:tc>
        <w:tc>
          <w:tcPr>
            <w:tcW w:w="1918" w:type="dxa"/>
            <w:noWrap w:val="0"/>
            <w:vAlign w:val="center"/>
          </w:tcPr>
          <w:p w14:paraId="370F5672">
            <w:pPr>
              <w:jc w:val="center"/>
              <w:rPr>
                <w:rFonts w:hAnsi="宋体"/>
                <w:szCs w:val="21"/>
              </w:rPr>
            </w:pPr>
            <w:r>
              <w:rPr>
                <w:rFonts w:hAnsi="宋体"/>
                <w:szCs w:val="21"/>
              </w:rPr>
              <w:t>液体</w:t>
            </w:r>
            <w:r>
              <w:rPr>
                <w:rFonts w:hint="eastAsia" w:hAnsi="宋体"/>
                <w:szCs w:val="21"/>
              </w:rPr>
              <w:t>28mL</w:t>
            </w:r>
            <w:r>
              <w:rPr>
                <w:szCs w:val="21"/>
              </w:rPr>
              <w:t>×1</w:t>
            </w:r>
            <w:r>
              <w:rPr>
                <w:rFonts w:hAnsi="宋体"/>
                <w:szCs w:val="21"/>
              </w:rPr>
              <w:t>瓶</w:t>
            </w:r>
          </w:p>
        </w:tc>
        <w:tc>
          <w:tcPr>
            <w:tcW w:w="1223" w:type="dxa"/>
            <w:noWrap w:val="0"/>
            <w:vAlign w:val="center"/>
          </w:tcPr>
          <w:p w14:paraId="0E0E860E">
            <w:pPr>
              <w:jc w:val="center"/>
              <w:rPr>
                <w:rFonts w:hAnsi="宋体"/>
                <w:szCs w:val="21"/>
              </w:rPr>
            </w:pPr>
            <w:r>
              <w:rPr>
                <w:szCs w:val="21"/>
              </w:rPr>
              <w:t>4</w:t>
            </w:r>
            <w:r>
              <w:rPr>
                <w:rFonts w:hAnsi="宋体"/>
                <w:szCs w:val="21"/>
              </w:rPr>
              <w:t>℃保存</w:t>
            </w:r>
          </w:p>
        </w:tc>
        <w:tc>
          <w:tcPr>
            <w:tcW w:w="2809" w:type="dxa"/>
            <w:noWrap w:val="0"/>
            <w:vAlign w:val="top"/>
          </w:tcPr>
          <w:p w14:paraId="03C50060">
            <w:pPr>
              <w:jc w:val="center"/>
              <w:rPr>
                <w:szCs w:val="21"/>
              </w:rPr>
            </w:pPr>
          </w:p>
        </w:tc>
      </w:tr>
      <w:tr w14:paraId="775AA3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7" w:hRule="atLeast"/>
          <w:jc w:val="center"/>
        </w:trPr>
        <w:tc>
          <w:tcPr>
            <w:tcW w:w="1223" w:type="dxa"/>
            <w:noWrap w:val="0"/>
            <w:vAlign w:val="center"/>
          </w:tcPr>
          <w:p w14:paraId="6642B887">
            <w:pPr>
              <w:jc w:val="center"/>
              <w:rPr>
                <w:rFonts w:hAnsi="宋体"/>
                <w:szCs w:val="21"/>
              </w:rPr>
            </w:pPr>
            <w:r>
              <w:rPr>
                <w:rFonts w:hAnsi="宋体"/>
                <w:szCs w:val="21"/>
              </w:rPr>
              <w:t>试剂</w:t>
            </w:r>
            <w:r>
              <w:rPr>
                <w:rFonts w:hint="eastAsia" w:hAnsi="宋体"/>
                <w:szCs w:val="21"/>
              </w:rPr>
              <w:t>二</w:t>
            </w:r>
          </w:p>
        </w:tc>
        <w:tc>
          <w:tcPr>
            <w:tcW w:w="1918" w:type="dxa"/>
            <w:noWrap w:val="0"/>
            <w:vAlign w:val="center"/>
          </w:tcPr>
          <w:p w14:paraId="52FF15BF">
            <w:pPr>
              <w:jc w:val="center"/>
              <w:rPr>
                <w:rFonts w:hAnsi="宋体"/>
                <w:szCs w:val="21"/>
              </w:rPr>
            </w:pPr>
            <w:r>
              <w:rPr>
                <w:rFonts w:hAnsi="宋体"/>
                <w:szCs w:val="21"/>
              </w:rPr>
              <w:t>液体</w:t>
            </w:r>
            <w:r>
              <w:rPr>
                <w:rFonts w:hint="eastAsia" w:hAnsi="宋体"/>
                <w:szCs w:val="21"/>
              </w:rPr>
              <w:t>4mL</w:t>
            </w:r>
            <w:r>
              <w:rPr>
                <w:szCs w:val="21"/>
              </w:rPr>
              <w:t>×1</w:t>
            </w:r>
            <w:r>
              <w:rPr>
                <w:rFonts w:hAnsi="宋体"/>
                <w:szCs w:val="21"/>
              </w:rPr>
              <w:t>瓶</w:t>
            </w:r>
          </w:p>
        </w:tc>
        <w:tc>
          <w:tcPr>
            <w:tcW w:w="1223" w:type="dxa"/>
            <w:noWrap w:val="0"/>
            <w:vAlign w:val="center"/>
          </w:tcPr>
          <w:p w14:paraId="4F27E697">
            <w:pPr>
              <w:jc w:val="center"/>
              <w:rPr>
                <w:rFonts w:hAnsi="宋体"/>
                <w:szCs w:val="21"/>
              </w:rPr>
            </w:pPr>
            <w:r>
              <w:rPr>
                <w:szCs w:val="21"/>
              </w:rPr>
              <w:t>4</w:t>
            </w:r>
            <w:r>
              <w:rPr>
                <w:rFonts w:ascii="宋体" w:hAnsi="宋体"/>
                <w:szCs w:val="21"/>
              </w:rPr>
              <w:t>℃</w:t>
            </w:r>
            <w:r>
              <w:rPr>
                <w:rFonts w:hAnsi="宋体"/>
                <w:szCs w:val="21"/>
              </w:rPr>
              <w:t>保存</w:t>
            </w:r>
          </w:p>
        </w:tc>
        <w:tc>
          <w:tcPr>
            <w:tcW w:w="2809" w:type="dxa"/>
            <w:noWrap w:val="0"/>
            <w:vAlign w:val="center"/>
          </w:tcPr>
          <w:p w14:paraId="124A05CF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若凝固，可在25℃水浴温育片刻至全部融解后使用。</w:t>
            </w:r>
          </w:p>
        </w:tc>
      </w:tr>
      <w:tr w14:paraId="3B44779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7" w:hRule="atLeast"/>
          <w:jc w:val="center"/>
        </w:trPr>
        <w:tc>
          <w:tcPr>
            <w:tcW w:w="1223" w:type="dxa"/>
            <w:noWrap w:val="0"/>
            <w:vAlign w:val="center"/>
          </w:tcPr>
          <w:p w14:paraId="78AA6576">
            <w:pPr>
              <w:jc w:val="center"/>
              <w:rPr>
                <w:rFonts w:hAnsi="宋体"/>
                <w:szCs w:val="21"/>
              </w:rPr>
            </w:pPr>
            <w:r>
              <w:rPr>
                <w:rFonts w:hint="eastAsia" w:hAnsi="宋体"/>
                <w:szCs w:val="21"/>
              </w:rPr>
              <w:t>标准品</w:t>
            </w:r>
          </w:p>
        </w:tc>
        <w:tc>
          <w:tcPr>
            <w:tcW w:w="1918" w:type="dxa"/>
            <w:noWrap w:val="0"/>
            <w:vAlign w:val="center"/>
          </w:tcPr>
          <w:p w14:paraId="4CAC47DA">
            <w:pPr>
              <w:jc w:val="center"/>
              <w:rPr>
                <w:rFonts w:hAnsi="宋体"/>
                <w:szCs w:val="21"/>
              </w:rPr>
            </w:pPr>
            <w:r>
              <w:rPr>
                <w:rFonts w:hint="eastAsia" w:hAnsi="宋体"/>
                <w:szCs w:val="21"/>
              </w:rPr>
              <w:t>粉体</w:t>
            </w:r>
            <w:r>
              <w:rPr>
                <w:szCs w:val="21"/>
              </w:rPr>
              <w:t>1</w:t>
            </w:r>
            <w:r>
              <w:rPr>
                <w:rFonts w:hint="eastAsia" w:hAnsi="宋体"/>
                <w:szCs w:val="21"/>
              </w:rPr>
              <w:t>支</w:t>
            </w:r>
          </w:p>
        </w:tc>
        <w:tc>
          <w:tcPr>
            <w:tcW w:w="1223" w:type="dxa"/>
            <w:noWrap w:val="0"/>
            <w:vAlign w:val="center"/>
          </w:tcPr>
          <w:p w14:paraId="3400CB66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4</w:t>
            </w:r>
            <w:r>
              <w:rPr>
                <w:rFonts w:hAnsi="宋体"/>
                <w:szCs w:val="21"/>
              </w:rPr>
              <w:t>℃保存</w:t>
            </w:r>
          </w:p>
        </w:tc>
        <w:tc>
          <w:tcPr>
            <w:tcW w:w="2809" w:type="dxa"/>
            <w:noWrap w:val="0"/>
            <w:vAlign w:val="center"/>
          </w:tcPr>
          <w:p w14:paraId="205340DA">
            <w:pPr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若重新做标曲，则用到该试剂。</w:t>
            </w:r>
          </w:p>
        </w:tc>
      </w:tr>
    </w:tbl>
    <w:p w14:paraId="5055DBF4">
      <w:pPr>
        <w:rPr>
          <w:rFonts w:hint="eastAsia" w:eastAsia="黑体" w:cs="黑体"/>
          <w:bCs/>
          <w:sz w:val="24"/>
          <w:szCs w:val="24"/>
        </w:rPr>
      </w:pPr>
      <w:r>
        <w:rPr>
          <w:rFonts w:hint="eastAsia" w:ascii="黑体" w:eastAsia="黑体"/>
          <w:sz w:val="24"/>
          <w:szCs w:val="24"/>
        </w:rPr>
        <w:t>三、</w:t>
      </w:r>
      <w:r>
        <w:rPr>
          <w:rFonts w:ascii="黑体" w:eastAsia="黑体"/>
          <w:sz w:val="24"/>
          <w:szCs w:val="24"/>
        </w:rPr>
        <w:t>所需的仪器和</w:t>
      </w:r>
      <w:r>
        <w:rPr>
          <w:rFonts w:hint="eastAsia" w:ascii="黑体" w:eastAsia="黑体"/>
          <w:sz w:val="24"/>
          <w:szCs w:val="24"/>
        </w:rPr>
        <w:t>用品：</w:t>
      </w:r>
    </w:p>
    <w:p w14:paraId="779831DB">
      <w:pPr>
        <w:ind w:firstLine="525" w:firstLineChars="250"/>
        <w:rPr>
          <w:bCs/>
          <w:szCs w:val="21"/>
        </w:rPr>
      </w:pPr>
      <w:r>
        <w:rPr>
          <w:rFonts w:hint="eastAsia"/>
          <w:bCs/>
          <w:szCs w:val="21"/>
        </w:rPr>
        <w:t>酶标仪、96孔板、</w:t>
      </w:r>
      <w:r>
        <w:rPr>
          <w:bCs/>
          <w:szCs w:val="21"/>
        </w:rPr>
        <w:t>低温离心机、水浴锅、可调节移液器、蒸馏水。</w:t>
      </w:r>
    </w:p>
    <w:p w14:paraId="203ECA90">
      <w:pPr>
        <w:numPr>
          <w:ilvl w:val="0"/>
          <w:numId w:val="1"/>
        </w:numPr>
        <w:spacing w:line="320" w:lineRule="exact"/>
        <w:rPr>
          <w:rFonts w:hint="eastAsia" w:ascii="黑体" w:eastAsia="黑体"/>
          <w:sz w:val="24"/>
          <w:szCs w:val="24"/>
        </w:rPr>
      </w:pPr>
      <w:r>
        <w:rPr>
          <w:rFonts w:hint="eastAsia" w:eastAsia="黑体" w:cs="黑体"/>
          <w:bCs/>
          <w:sz w:val="24"/>
          <w:szCs w:val="24"/>
        </w:rPr>
        <w:t>还原型谷胱甘肽（GSH）含量</w:t>
      </w:r>
      <w:r>
        <w:rPr>
          <w:rFonts w:hint="eastAsia" w:ascii="黑体" w:eastAsia="黑体"/>
          <w:sz w:val="24"/>
          <w:szCs w:val="24"/>
        </w:rPr>
        <w:t>的测定：</w:t>
      </w:r>
    </w:p>
    <w:p w14:paraId="75787E52">
      <w:pPr>
        <w:spacing w:line="320" w:lineRule="exact"/>
        <w:ind w:left="240" w:hanging="240" w:hangingChars="100"/>
        <w:rPr>
          <w:rFonts w:hint="eastAsia" w:ascii="黑体" w:eastAsia="黑体"/>
          <w:szCs w:val="21"/>
        </w:rPr>
      </w:pPr>
      <w:r>
        <w:rPr>
          <w:rFonts w:hint="eastAsia" w:ascii="黑体" w:eastAsia="黑体"/>
          <w:sz w:val="24"/>
          <w:szCs w:val="24"/>
        </w:rPr>
        <w:t xml:space="preserve">  </w:t>
      </w:r>
      <w:r>
        <w:rPr>
          <w:rFonts w:hint="eastAsia" w:eastAsia="黑体"/>
          <w:bCs/>
          <w:szCs w:val="21"/>
        </w:rPr>
        <w:t>建议正式实验前选取2个样本做预测定，了解本批样品情况，熟悉实验流程，避免实验样本和试剂浪费！</w:t>
      </w:r>
    </w:p>
    <w:p w14:paraId="5F1EF4F2">
      <w:pPr>
        <w:rPr>
          <w:rFonts w:hint="eastAsia" w:ascii="黑体" w:eastAsia="黑体"/>
          <w:szCs w:val="21"/>
        </w:rPr>
      </w:pPr>
      <w:r>
        <w:rPr>
          <w:rFonts w:hint="eastAsia"/>
          <w:szCs w:val="21"/>
        </w:rPr>
        <w:t xml:space="preserve"> </w:t>
      </w:r>
      <w:r>
        <w:rPr>
          <w:rFonts w:hint="eastAsia" w:ascii="黑体" w:hAnsi="黑体" w:eastAsia="黑体" w:cs="黑体"/>
          <w:szCs w:val="21"/>
        </w:rPr>
        <w:t>1、样本制备</w:t>
      </w:r>
    </w:p>
    <w:p w14:paraId="7DFE1EDA">
      <w:pPr>
        <w:ind w:left="630" w:leftChars="150" w:hanging="315" w:hangingChars="150"/>
        <w:rPr>
          <w:szCs w:val="21"/>
        </w:rPr>
      </w:pPr>
      <w:r>
        <w:rPr>
          <w:rFonts w:hint="eastAsia"/>
          <w:szCs w:val="21"/>
        </w:rPr>
        <w:t>① 组织样本：</w:t>
      </w:r>
      <w:r>
        <w:rPr>
          <w:szCs w:val="21"/>
        </w:rPr>
        <w:t>称取约0.1g组织，加入1mL</w:t>
      </w:r>
      <w:r>
        <w:rPr>
          <w:rFonts w:hint="eastAsia"/>
          <w:szCs w:val="21"/>
        </w:rPr>
        <w:t>提取液</w:t>
      </w:r>
      <w:r>
        <w:rPr>
          <w:szCs w:val="21"/>
        </w:rPr>
        <w:t>，进行冰浴匀浆。4</w:t>
      </w:r>
      <w:r>
        <w:rPr>
          <w:rFonts w:hint="eastAsia" w:ascii="宋体" w:hAnsi="宋体" w:cs="宋体"/>
          <w:szCs w:val="21"/>
        </w:rPr>
        <w:t>℃</w:t>
      </w:r>
      <w:r>
        <w:rPr>
          <w:rFonts w:ascii="Arial" w:hAnsi="Arial" w:cs="Arial"/>
          <w:szCs w:val="21"/>
        </w:rPr>
        <w:t>×</w:t>
      </w:r>
      <w:r>
        <w:rPr>
          <w:szCs w:val="21"/>
        </w:rPr>
        <w:t xml:space="preserve">12000rpm </w:t>
      </w:r>
      <w:r>
        <w:rPr>
          <w:rFonts w:hint="eastAsia"/>
          <w:szCs w:val="21"/>
        </w:rPr>
        <w:t>离心</w:t>
      </w:r>
      <w:r>
        <w:rPr>
          <w:szCs w:val="21"/>
        </w:rPr>
        <w:t>15min，</w:t>
      </w:r>
      <w:r>
        <w:rPr>
          <w:rFonts w:hint="eastAsia"/>
          <w:szCs w:val="21"/>
        </w:rPr>
        <w:t>取上清液</w:t>
      </w:r>
      <w:r>
        <w:rPr>
          <w:rFonts w:hint="eastAsia" w:hAnsi="宋体"/>
          <w:iCs/>
          <w:szCs w:val="21"/>
          <w:lang w:val="en-GB"/>
        </w:rPr>
        <w:t>，</w:t>
      </w:r>
      <w:r>
        <w:rPr>
          <w:szCs w:val="21"/>
        </w:rPr>
        <w:t>置冰上</w:t>
      </w:r>
      <w:r>
        <w:rPr>
          <w:rFonts w:hint="eastAsia"/>
          <w:szCs w:val="21"/>
        </w:rPr>
        <w:t>待测</w:t>
      </w:r>
      <w:r>
        <w:rPr>
          <w:szCs w:val="21"/>
        </w:rPr>
        <w:t>。</w:t>
      </w:r>
    </w:p>
    <w:p w14:paraId="2B182721">
      <w:pPr>
        <w:ind w:firstLine="360" w:firstLineChars="200"/>
        <w:rPr>
          <w:rFonts w:eastAsia="黑体"/>
          <w:sz w:val="18"/>
          <w:szCs w:val="18"/>
        </w:rPr>
      </w:pPr>
      <w:r>
        <w:rPr>
          <w:rFonts w:eastAsia="黑体"/>
          <w:sz w:val="18"/>
          <w:szCs w:val="18"/>
        </w:rPr>
        <w:t>【注】：①</w:t>
      </w:r>
      <w:r>
        <w:rPr>
          <w:rFonts w:hint="eastAsia" w:eastAsia="黑体"/>
          <w:sz w:val="18"/>
          <w:szCs w:val="18"/>
        </w:rPr>
        <w:t xml:space="preserve"> </w:t>
      </w:r>
      <w:r>
        <w:rPr>
          <w:rFonts w:eastAsia="黑体"/>
          <w:sz w:val="18"/>
          <w:szCs w:val="18"/>
        </w:rPr>
        <w:t>根据实验室条件，可先液氮研磨，再加提取液，进行冰浴匀浆</w:t>
      </w:r>
      <w:r>
        <w:rPr>
          <w:rFonts w:hint="eastAsia" w:eastAsia="黑体"/>
          <w:sz w:val="18"/>
          <w:szCs w:val="18"/>
        </w:rPr>
        <w:t>。</w:t>
      </w:r>
    </w:p>
    <w:p w14:paraId="54ADE0FA">
      <w:pPr>
        <w:ind w:firstLine="990" w:firstLineChars="550"/>
        <w:rPr>
          <w:rFonts w:hint="eastAsia" w:eastAsia="黑体"/>
          <w:sz w:val="18"/>
          <w:szCs w:val="18"/>
        </w:rPr>
      </w:pPr>
      <w:r>
        <w:rPr>
          <w:rFonts w:eastAsia="黑体"/>
          <w:sz w:val="18"/>
          <w:szCs w:val="18"/>
        </w:rPr>
        <w:t>②</w:t>
      </w:r>
      <w:r>
        <w:rPr>
          <w:rFonts w:hint="eastAsia" w:eastAsia="黑体"/>
          <w:sz w:val="18"/>
          <w:szCs w:val="18"/>
        </w:rPr>
        <w:t xml:space="preserve"> </w:t>
      </w:r>
      <w:r>
        <w:rPr>
          <w:rFonts w:eastAsia="黑体"/>
          <w:sz w:val="18"/>
          <w:szCs w:val="18"/>
        </w:rPr>
        <w:t>根据研究需求，可按组织质量（g）：提取液体积(mL)为1：10的比例进行提取。</w:t>
      </w:r>
    </w:p>
    <w:p w14:paraId="30A5B796">
      <w:pPr>
        <w:ind w:left="525" w:leftChars="150" w:hanging="210" w:hangingChars="100"/>
      </w:pPr>
      <w:r>
        <w:rPr>
          <w:rFonts w:hint="eastAsia"/>
        </w:rPr>
        <w:t xml:space="preserve">② </w:t>
      </w:r>
      <w:r>
        <w:rPr>
          <w:rFonts w:hAnsi="宋体"/>
        </w:rPr>
        <w:t>细菌</w:t>
      </w:r>
      <w:r>
        <w:rPr>
          <w:rFonts w:hint="eastAsia" w:hAnsi="宋体"/>
        </w:rPr>
        <w:t>/</w:t>
      </w:r>
      <w:r>
        <w:rPr>
          <w:rFonts w:hAnsi="宋体"/>
        </w:rPr>
        <w:t>细胞</w:t>
      </w:r>
      <w:r>
        <w:rPr>
          <w:rFonts w:hint="eastAsia" w:hAnsi="宋体"/>
        </w:rPr>
        <w:t>样本</w:t>
      </w:r>
      <w:r>
        <w:rPr>
          <w:rFonts w:hAnsi="宋体"/>
        </w:rPr>
        <w:t>：先收集细菌或细胞到离心管内，离心后弃上清；</w:t>
      </w:r>
      <w:r>
        <w:rPr>
          <w:rFonts w:hint="eastAsia" w:hAnsi="宋体"/>
        </w:rPr>
        <w:t>取</w:t>
      </w:r>
      <w:r>
        <w:t>500</w:t>
      </w:r>
      <w:r>
        <w:rPr>
          <w:rFonts w:hAnsi="宋体"/>
        </w:rPr>
        <w:t>万细菌或细胞加入</w:t>
      </w:r>
      <w:r>
        <w:t>1mL</w:t>
      </w:r>
      <w:r>
        <w:rPr>
          <w:rFonts w:hint="eastAsia" w:hAnsi="宋体"/>
        </w:rPr>
        <w:t>提取液；</w:t>
      </w:r>
      <w:r>
        <w:rPr>
          <w:rFonts w:hAnsi="宋体"/>
        </w:rPr>
        <w:t>超声波破碎细菌或细胞（</w:t>
      </w:r>
      <w:r>
        <w:t>功率300w，超声3秒，间隔7秒，总时间3min</w:t>
      </w:r>
      <w:r>
        <w:rPr>
          <w:rFonts w:hAnsi="宋体"/>
        </w:rPr>
        <w:t>）；</w:t>
      </w:r>
      <w:r>
        <w:t>4</w:t>
      </w:r>
      <w:r>
        <w:rPr>
          <w:rFonts w:hint="eastAsia" w:ascii="宋体" w:hAnsi="宋体" w:cs="宋体"/>
        </w:rPr>
        <w:t>℃</w:t>
      </w:r>
      <w:r>
        <w:rPr>
          <w:rFonts w:ascii="Arial" w:hAnsi="Arial" w:cs="Arial"/>
        </w:rPr>
        <w:t>×</w:t>
      </w:r>
      <w:r>
        <w:t xml:space="preserve">12000rpm </w:t>
      </w:r>
      <w:r>
        <w:rPr>
          <w:rFonts w:hint="eastAsia"/>
        </w:rPr>
        <w:t>离心</w:t>
      </w:r>
      <w:r>
        <w:t>15min，</w:t>
      </w:r>
      <w:r>
        <w:rPr>
          <w:rFonts w:hint="eastAsia"/>
        </w:rPr>
        <w:t>取上清液</w:t>
      </w:r>
      <w:r>
        <w:rPr>
          <w:rFonts w:hint="eastAsia" w:hAnsi="宋体"/>
          <w:iCs/>
          <w:sz w:val="24"/>
          <w:szCs w:val="24"/>
          <w:lang w:val="en-GB"/>
        </w:rPr>
        <w:t>，</w:t>
      </w:r>
      <w:r>
        <w:t>置冰上</w:t>
      </w:r>
      <w:r>
        <w:rPr>
          <w:rFonts w:hint="eastAsia"/>
        </w:rPr>
        <w:t>待测</w:t>
      </w:r>
      <w:r>
        <w:t>。</w:t>
      </w:r>
    </w:p>
    <w:p w14:paraId="4810B522">
      <w:pPr>
        <w:ind w:left="1140" w:leftChars="200" w:hanging="720" w:hangingChars="400"/>
        <w:rPr>
          <w:rFonts w:hint="eastAsia" w:eastAsia="黑体"/>
          <w:sz w:val="18"/>
          <w:szCs w:val="18"/>
        </w:rPr>
      </w:pPr>
      <w:r>
        <w:rPr>
          <w:rFonts w:eastAsia="黑体"/>
          <w:sz w:val="18"/>
          <w:szCs w:val="18"/>
        </w:rPr>
        <w:t>【注】：</w:t>
      </w:r>
      <w:r>
        <w:rPr>
          <w:rFonts w:hint="eastAsia" w:eastAsia="黑体"/>
          <w:sz w:val="18"/>
          <w:szCs w:val="18"/>
        </w:rPr>
        <w:t>若增加样本量，可按照细菌/细胞数量(</w:t>
      </w:r>
      <w:r>
        <w:rPr>
          <w:rFonts w:eastAsia="黑体"/>
          <w:sz w:val="18"/>
          <w:szCs w:val="18"/>
        </w:rPr>
        <w:t>10</w:t>
      </w:r>
      <w:r>
        <w:rPr>
          <w:rFonts w:eastAsia="黑体"/>
          <w:sz w:val="18"/>
          <w:szCs w:val="18"/>
          <w:vertAlign w:val="superscript"/>
        </w:rPr>
        <w:t>4</w:t>
      </w:r>
      <w:r>
        <w:rPr>
          <w:rFonts w:hint="eastAsia" w:eastAsia="黑体"/>
          <w:sz w:val="18"/>
          <w:szCs w:val="18"/>
        </w:rPr>
        <w:t>个)：提取液(</w:t>
      </w:r>
      <w:r>
        <w:rPr>
          <w:rFonts w:eastAsia="黑体"/>
          <w:sz w:val="18"/>
          <w:szCs w:val="18"/>
        </w:rPr>
        <w:t>mL</w:t>
      </w:r>
      <w:r>
        <w:rPr>
          <w:rFonts w:hint="eastAsia" w:eastAsia="黑体"/>
          <w:sz w:val="18"/>
          <w:szCs w:val="18"/>
        </w:rPr>
        <w:t>)为</w:t>
      </w:r>
      <w:r>
        <w:rPr>
          <w:rFonts w:eastAsia="黑体"/>
          <w:sz w:val="18"/>
          <w:szCs w:val="18"/>
        </w:rPr>
        <w:t>500~1000</w:t>
      </w:r>
      <w:r>
        <w:rPr>
          <w:rFonts w:hint="eastAsia" w:eastAsia="黑体"/>
          <w:sz w:val="18"/>
          <w:szCs w:val="18"/>
        </w:rPr>
        <w:t>：</w:t>
      </w:r>
      <w:r>
        <w:rPr>
          <w:rFonts w:eastAsia="黑体"/>
          <w:sz w:val="18"/>
          <w:szCs w:val="18"/>
        </w:rPr>
        <w:t>1</w:t>
      </w:r>
      <w:r>
        <w:rPr>
          <w:rFonts w:hint="eastAsia" w:eastAsia="黑体"/>
          <w:sz w:val="18"/>
          <w:szCs w:val="18"/>
        </w:rPr>
        <w:t>比例进行提取。</w:t>
      </w:r>
    </w:p>
    <w:p w14:paraId="6C6C00A5">
      <w:pPr>
        <w:ind w:firstLine="420" w:firstLineChars="200"/>
        <w:rPr>
          <w:rFonts w:hint="eastAsia"/>
          <w:szCs w:val="21"/>
        </w:rPr>
      </w:pPr>
      <w:r>
        <w:rPr>
          <w:rFonts w:hint="eastAsia"/>
          <w:szCs w:val="21"/>
        </w:rPr>
        <w:t>③ 液体样本：直接检测。</w:t>
      </w:r>
      <w:r>
        <w:rPr>
          <w:rFonts w:hint="eastAsia"/>
        </w:rPr>
        <w:t>若浑浊，离心后取上清检测。</w:t>
      </w:r>
    </w:p>
    <w:p w14:paraId="5528E17A">
      <w:pPr>
        <w:rPr>
          <w:rFonts w:hint="eastAsia" w:eastAsia="黑体"/>
          <w:szCs w:val="21"/>
        </w:rPr>
      </w:pPr>
      <w:r>
        <w:rPr>
          <w:rFonts w:eastAsia="黑体"/>
          <w:szCs w:val="21"/>
        </w:rPr>
        <w:t>2、上机检测</w:t>
      </w:r>
    </w:p>
    <w:p w14:paraId="61DDE435">
      <w:pPr>
        <w:ind w:firstLine="210" w:firstLineChars="100"/>
        <w:rPr>
          <w:bCs/>
          <w:szCs w:val="21"/>
        </w:rPr>
      </w:pPr>
      <w:r>
        <w:rPr>
          <w:rFonts w:hint="eastAsia"/>
          <w:bCs/>
          <w:szCs w:val="21"/>
        </w:rPr>
        <w:t>① 酶标仪</w:t>
      </w:r>
      <w:r>
        <w:rPr>
          <w:bCs/>
          <w:szCs w:val="21"/>
        </w:rPr>
        <w:t>预热30min，调节波长到412nm。</w:t>
      </w:r>
    </w:p>
    <w:p w14:paraId="0975B6F1">
      <w:pPr>
        <w:ind w:firstLine="210" w:firstLineChars="100"/>
        <w:rPr>
          <w:bCs/>
          <w:szCs w:val="21"/>
        </w:rPr>
      </w:pPr>
      <w:r>
        <w:rPr>
          <w:rFonts w:hint="eastAsia"/>
          <w:bCs/>
          <w:szCs w:val="21"/>
        </w:rPr>
        <w:t xml:space="preserve">② </w:t>
      </w:r>
      <w:r>
        <w:rPr>
          <w:rFonts w:hint="eastAsia" w:cs="宋体"/>
          <w:bCs/>
          <w:szCs w:val="21"/>
        </w:rPr>
        <w:t>所有试剂在使用前需在</w:t>
      </w:r>
      <w:r>
        <w:rPr>
          <w:bCs/>
          <w:szCs w:val="21"/>
        </w:rPr>
        <w:t>25</w:t>
      </w:r>
      <w:r>
        <w:rPr>
          <w:rFonts w:hint="eastAsia" w:ascii="宋体" w:hAnsi="宋体" w:cs="宋体"/>
          <w:bCs/>
          <w:szCs w:val="21"/>
        </w:rPr>
        <w:t>℃</w:t>
      </w:r>
      <w:r>
        <w:rPr>
          <w:bCs/>
          <w:szCs w:val="21"/>
        </w:rPr>
        <w:t>水浴中保温</w:t>
      </w:r>
      <w:r>
        <w:rPr>
          <w:rFonts w:hint="eastAsia"/>
          <w:bCs/>
          <w:szCs w:val="21"/>
        </w:rPr>
        <w:t>10min</w:t>
      </w:r>
      <w:r>
        <w:rPr>
          <w:bCs/>
          <w:szCs w:val="21"/>
        </w:rPr>
        <w:t>。</w:t>
      </w:r>
      <w:r>
        <w:rPr>
          <w:rFonts w:hint="eastAsia"/>
          <w:bCs/>
          <w:szCs w:val="21"/>
        </w:rPr>
        <w:t>在96孔板中依次加入：</w:t>
      </w:r>
    </w:p>
    <w:tbl>
      <w:tblPr>
        <w:tblStyle w:val="7"/>
        <w:tblW w:w="0" w:type="auto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64"/>
        <w:gridCol w:w="1704"/>
        <w:gridCol w:w="1668"/>
      </w:tblGrid>
      <w:tr w14:paraId="139FC92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864" w:type="dxa"/>
            <w:noWrap w:val="0"/>
            <w:vAlign w:val="center"/>
          </w:tcPr>
          <w:p w14:paraId="5FA91EC0">
            <w:pPr>
              <w:jc w:val="center"/>
              <w:rPr>
                <w:rFonts w:hint="eastAsia" w:cs="宋体"/>
                <w:bCs/>
                <w:szCs w:val="21"/>
              </w:rPr>
            </w:pPr>
            <w:r>
              <w:rPr>
                <w:rFonts w:hint="eastAsia" w:cs="宋体"/>
                <w:bCs/>
                <w:szCs w:val="21"/>
              </w:rPr>
              <w:t>试剂名称（</w:t>
            </w:r>
            <w:r>
              <w:rPr>
                <w:szCs w:val="21"/>
              </w:rPr>
              <w:t>μL</w:t>
            </w:r>
            <w:r>
              <w:rPr>
                <w:rFonts w:hint="eastAsia"/>
                <w:szCs w:val="21"/>
              </w:rPr>
              <w:t>）</w:t>
            </w:r>
          </w:p>
        </w:tc>
        <w:tc>
          <w:tcPr>
            <w:tcW w:w="1704" w:type="dxa"/>
            <w:noWrap w:val="0"/>
            <w:vAlign w:val="center"/>
          </w:tcPr>
          <w:p w14:paraId="0DF998A2">
            <w:pPr>
              <w:jc w:val="center"/>
              <w:rPr>
                <w:rFonts w:hint="eastAsia" w:cs="宋体"/>
                <w:bCs/>
                <w:szCs w:val="21"/>
              </w:rPr>
            </w:pPr>
            <w:r>
              <w:rPr>
                <w:rFonts w:hint="eastAsia" w:cs="宋体"/>
                <w:bCs/>
                <w:szCs w:val="21"/>
              </w:rPr>
              <w:t>测定管</w:t>
            </w:r>
          </w:p>
        </w:tc>
        <w:tc>
          <w:tcPr>
            <w:tcW w:w="1668" w:type="dxa"/>
            <w:noWrap w:val="0"/>
            <w:vAlign w:val="center"/>
          </w:tcPr>
          <w:p w14:paraId="10E09C56">
            <w:pPr>
              <w:jc w:val="center"/>
              <w:rPr>
                <w:rFonts w:hint="eastAsia" w:cs="宋体"/>
                <w:bCs/>
                <w:szCs w:val="21"/>
              </w:rPr>
            </w:pPr>
            <w:r>
              <w:rPr>
                <w:rFonts w:hint="eastAsia" w:cs="宋体"/>
                <w:bCs/>
                <w:szCs w:val="21"/>
              </w:rPr>
              <w:t>对照管</w:t>
            </w:r>
          </w:p>
        </w:tc>
      </w:tr>
      <w:tr w14:paraId="098EA85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864" w:type="dxa"/>
            <w:noWrap w:val="0"/>
            <w:vAlign w:val="center"/>
          </w:tcPr>
          <w:p w14:paraId="5C834627">
            <w:pPr>
              <w:jc w:val="center"/>
              <w:rPr>
                <w:rFonts w:hint="eastAsia" w:cs="宋体"/>
                <w:bCs/>
                <w:szCs w:val="21"/>
              </w:rPr>
            </w:pPr>
            <w:r>
              <w:rPr>
                <w:rFonts w:hint="eastAsia" w:cs="宋体"/>
                <w:bCs/>
                <w:szCs w:val="21"/>
              </w:rPr>
              <w:t>样本</w:t>
            </w:r>
          </w:p>
        </w:tc>
        <w:tc>
          <w:tcPr>
            <w:tcW w:w="1704" w:type="dxa"/>
            <w:noWrap w:val="0"/>
            <w:vAlign w:val="center"/>
          </w:tcPr>
          <w:p w14:paraId="5D073270">
            <w:pPr>
              <w:jc w:val="center"/>
              <w:rPr>
                <w:rFonts w:hint="eastAsia" w:cs="宋体"/>
                <w:bCs/>
                <w:szCs w:val="21"/>
              </w:rPr>
            </w:pPr>
            <w:r>
              <w:rPr>
                <w:rFonts w:hint="eastAsia" w:cs="宋体"/>
                <w:bCs/>
                <w:szCs w:val="21"/>
              </w:rPr>
              <w:t>20</w:t>
            </w:r>
          </w:p>
        </w:tc>
        <w:tc>
          <w:tcPr>
            <w:tcW w:w="1668" w:type="dxa"/>
            <w:noWrap w:val="0"/>
            <w:vAlign w:val="center"/>
          </w:tcPr>
          <w:p w14:paraId="033F3877">
            <w:pPr>
              <w:jc w:val="center"/>
              <w:rPr>
                <w:rFonts w:hint="eastAsia" w:cs="宋体"/>
                <w:bCs/>
                <w:szCs w:val="21"/>
              </w:rPr>
            </w:pPr>
            <w:r>
              <w:rPr>
                <w:rFonts w:hint="eastAsia" w:cs="宋体"/>
                <w:bCs/>
                <w:szCs w:val="21"/>
              </w:rPr>
              <w:t>20</w:t>
            </w:r>
          </w:p>
        </w:tc>
      </w:tr>
      <w:tr w14:paraId="49F8D0E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864" w:type="dxa"/>
            <w:noWrap w:val="0"/>
            <w:vAlign w:val="center"/>
          </w:tcPr>
          <w:p w14:paraId="4E4EA539">
            <w:pPr>
              <w:jc w:val="center"/>
              <w:rPr>
                <w:rFonts w:hint="eastAsia" w:cs="宋体"/>
                <w:bCs/>
                <w:szCs w:val="21"/>
              </w:rPr>
            </w:pPr>
            <w:r>
              <w:rPr>
                <w:rFonts w:hint="eastAsia" w:cs="宋体"/>
                <w:bCs/>
                <w:szCs w:val="21"/>
              </w:rPr>
              <w:t>试剂一</w:t>
            </w:r>
          </w:p>
        </w:tc>
        <w:tc>
          <w:tcPr>
            <w:tcW w:w="1704" w:type="dxa"/>
            <w:noWrap w:val="0"/>
            <w:vAlign w:val="center"/>
          </w:tcPr>
          <w:p w14:paraId="2B5C7106">
            <w:pPr>
              <w:jc w:val="center"/>
              <w:rPr>
                <w:rFonts w:hint="eastAsia" w:cs="宋体"/>
                <w:bCs/>
                <w:szCs w:val="21"/>
              </w:rPr>
            </w:pPr>
            <w:r>
              <w:rPr>
                <w:rFonts w:hint="eastAsia" w:cs="宋体"/>
                <w:bCs/>
                <w:szCs w:val="21"/>
              </w:rPr>
              <w:t>120</w:t>
            </w:r>
          </w:p>
        </w:tc>
        <w:tc>
          <w:tcPr>
            <w:tcW w:w="1668" w:type="dxa"/>
            <w:noWrap w:val="0"/>
            <w:vAlign w:val="center"/>
          </w:tcPr>
          <w:p w14:paraId="0FBC9DB7">
            <w:pPr>
              <w:jc w:val="center"/>
              <w:rPr>
                <w:rFonts w:hint="eastAsia" w:cs="宋体"/>
                <w:bCs/>
                <w:szCs w:val="21"/>
              </w:rPr>
            </w:pPr>
            <w:r>
              <w:rPr>
                <w:rFonts w:hint="eastAsia" w:cs="宋体"/>
                <w:bCs/>
                <w:szCs w:val="21"/>
              </w:rPr>
              <w:t>160</w:t>
            </w:r>
          </w:p>
        </w:tc>
      </w:tr>
      <w:tr w14:paraId="0AD0ABF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864" w:type="dxa"/>
            <w:noWrap w:val="0"/>
            <w:vAlign w:val="center"/>
          </w:tcPr>
          <w:p w14:paraId="2F51C006">
            <w:pPr>
              <w:jc w:val="center"/>
              <w:rPr>
                <w:rFonts w:hint="eastAsia" w:cs="宋体"/>
                <w:bCs/>
                <w:szCs w:val="21"/>
              </w:rPr>
            </w:pPr>
            <w:r>
              <w:rPr>
                <w:rFonts w:hint="eastAsia" w:cs="宋体"/>
                <w:bCs/>
                <w:szCs w:val="21"/>
              </w:rPr>
              <w:t>试剂二</w:t>
            </w:r>
          </w:p>
        </w:tc>
        <w:tc>
          <w:tcPr>
            <w:tcW w:w="1704" w:type="dxa"/>
            <w:noWrap w:val="0"/>
            <w:vAlign w:val="center"/>
          </w:tcPr>
          <w:p w14:paraId="1BECC1DE">
            <w:pPr>
              <w:jc w:val="center"/>
              <w:rPr>
                <w:rFonts w:hint="eastAsia" w:cs="宋体"/>
                <w:bCs/>
                <w:szCs w:val="21"/>
              </w:rPr>
            </w:pPr>
            <w:r>
              <w:rPr>
                <w:rFonts w:hint="eastAsia" w:cs="宋体"/>
                <w:bCs/>
                <w:szCs w:val="21"/>
              </w:rPr>
              <w:t>40</w:t>
            </w:r>
          </w:p>
        </w:tc>
        <w:tc>
          <w:tcPr>
            <w:tcW w:w="1668" w:type="dxa"/>
            <w:noWrap w:val="0"/>
            <w:vAlign w:val="center"/>
          </w:tcPr>
          <w:p w14:paraId="627310B5">
            <w:pPr>
              <w:jc w:val="center"/>
              <w:rPr>
                <w:rFonts w:hint="eastAsia" w:cs="宋体"/>
                <w:bCs/>
                <w:szCs w:val="21"/>
              </w:rPr>
            </w:pPr>
          </w:p>
        </w:tc>
      </w:tr>
      <w:tr w14:paraId="5D63EBF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236" w:type="dxa"/>
            <w:gridSpan w:val="3"/>
            <w:noWrap w:val="0"/>
            <w:vAlign w:val="center"/>
          </w:tcPr>
          <w:p w14:paraId="6AC0595E">
            <w:pPr>
              <w:autoSpaceDE w:val="0"/>
              <w:autoSpaceDN w:val="0"/>
              <w:adjustRightInd w:val="0"/>
              <w:jc w:val="left"/>
              <w:rPr>
                <w:rFonts w:hint="eastAsia"/>
                <w:bCs/>
                <w:szCs w:val="21"/>
              </w:rPr>
            </w:pPr>
            <w:r>
              <w:rPr>
                <w:rFonts w:hint="eastAsia" w:ascii="宋体" w:hAnsi="宋体" w:cs="宋体"/>
                <w:bCs/>
                <w:szCs w:val="21"/>
              </w:rPr>
              <w:t>立即混匀</w:t>
            </w:r>
            <w:r>
              <w:rPr>
                <w:rFonts w:hint="eastAsia" w:hAnsi="宋体"/>
                <w:bCs/>
                <w:szCs w:val="21"/>
              </w:rPr>
              <w:t>，静置5min后，在</w:t>
            </w:r>
            <w:r>
              <w:rPr>
                <w:rFonts w:hint="eastAsia"/>
                <w:bCs/>
                <w:szCs w:val="21"/>
              </w:rPr>
              <w:t>412</w:t>
            </w:r>
            <w:r>
              <w:rPr>
                <w:bCs/>
                <w:szCs w:val="21"/>
              </w:rPr>
              <w:t>nm</w:t>
            </w:r>
            <w:r>
              <w:rPr>
                <w:rFonts w:hint="eastAsia"/>
                <w:bCs/>
                <w:szCs w:val="21"/>
              </w:rPr>
              <w:t>波长下读取吸光值</w:t>
            </w:r>
            <w:r>
              <w:rPr>
                <w:bCs/>
                <w:szCs w:val="21"/>
              </w:rPr>
              <w:t>A</w:t>
            </w:r>
            <w:r>
              <w:rPr>
                <w:rFonts w:hint="eastAsia"/>
                <w:bCs/>
                <w:szCs w:val="21"/>
              </w:rPr>
              <w:t>，</w:t>
            </w:r>
          </w:p>
          <w:p w14:paraId="2E1B4420">
            <w:pPr>
              <w:autoSpaceDE w:val="0"/>
              <w:autoSpaceDN w:val="0"/>
              <w:adjustRightInd w:val="0"/>
              <w:ind w:firstLine="360" w:firstLineChars="200"/>
              <w:jc w:val="center"/>
              <w:rPr>
                <w:rFonts w:hint="eastAsia" w:cs="宋体"/>
                <w:bCs/>
                <w:szCs w:val="21"/>
              </w:rPr>
            </w:pPr>
            <w:r>
              <w:rPr>
                <w:rFonts w:hint="eastAsia" w:cs="宋体"/>
                <w:bCs/>
                <w:sz w:val="18"/>
                <w:szCs w:val="18"/>
              </w:rPr>
              <w:t>△</w:t>
            </w:r>
            <w:r>
              <w:rPr>
                <w:bCs/>
                <w:szCs w:val="21"/>
              </w:rPr>
              <w:t>A</w:t>
            </w:r>
            <w:r>
              <w:rPr>
                <w:rFonts w:hint="eastAsia" w:cs="宋体"/>
                <w:bCs/>
                <w:szCs w:val="21"/>
              </w:rPr>
              <w:t>=</w:t>
            </w:r>
            <w:r>
              <w:rPr>
                <w:bCs/>
                <w:szCs w:val="21"/>
              </w:rPr>
              <w:t>A</w:t>
            </w:r>
            <w:r>
              <w:rPr>
                <w:rFonts w:hint="eastAsia"/>
                <w:bCs/>
                <w:szCs w:val="21"/>
              </w:rPr>
              <w:t>测定管</w:t>
            </w:r>
            <w:r>
              <w:rPr>
                <w:rFonts w:hint="eastAsia" w:cs="宋体"/>
                <w:bCs/>
                <w:szCs w:val="21"/>
              </w:rPr>
              <w:t>﹣</w:t>
            </w:r>
            <w:r>
              <w:rPr>
                <w:rFonts w:hint="eastAsia"/>
                <w:bCs/>
                <w:szCs w:val="21"/>
              </w:rPr>
              <w:t>A对照管</w:t>
            </w:r>
            <w:r>
              <w:rPr>
                <w:rFonts w:hint="eastAsia" w:cs="宋体"/>
                <w:bCs/>
                <w:szCs w:val="21"/>
              </w:rPr>
              <w:t>。</w:t>
            </w:r>
          </w:p>
        </w:tc>
      </w:tr>
    </w:tbl>
    <w:p w14:paraId="6CA83AB3">
      <w:pPr>
        <w:spacing w:line="240" w:lineRule="exact"/>
        <w:ind w:firstLine="1440" w:firstLineChars="800"/>
        <w:rPr>
          <w:rFonts w:eastAsia="黑体"/>
          <w:bCs/>
          <w:sz w:val="18"/>
          <w:szCs w:val="18"/>
        </w:rPr>
      </w:pPr>
      <w:r>
        <w:rPr>
          <w:rFonts w:hAnsi="黑体" w:eastAsia="黑体"/>
          <w:bCs/>
          <w:sz w:val="18"/>
          <w:szCs w:val="18"/>
        </w:rPr>
        <w:t>【注】</w:t>
      </w:r>
      <w:r>
        <w:rPr>
          <w:rFonts w:eastAsia="黑体"/>
          <w:bCs/>
          <w:sz w:val="18"/>
          <w:szCs w:val="18"/>
        </w:rPr>
        <w:t>1.</w:t>
      </w:r>
      <w:r>
        <w:rPr>
          <w:rFonts w:hint="eastAsia" w:eastAsia="黑体"/>
          <w:bCs/>
          <w:sz w:val="18"/>
          <w:szCs w:val="18"/>
        </w:rPr>
        <w:t xml:space="preserve"> </w:t>
      </w:r>
      <w:r>
        <w:rPr>
          <w:rFonts w:hAnsi="黑体" w:eastAsia="黑体"/>
          <w:bCs/>
          <w:sz w:val="18"/>
          <w:szCs w:val="18"/>
        </w:rPr>
        <w:t>若是同一批样本检测，样本对照管做一个即可。</w:t>
      </w:r>
    </w:p>
    <w:p w14:paraId="38E463D6">
      <w:pPr>
        <w:spacing w:line="240" w:lineRule="exact"/>
        <w:ind w:left="1560" w:leftChars="400" w:hanging="720" w:hangingChars="400"/>
        <w:rPr>
          <w:rFonts w:eastAsia="黑体"/>
          <w:bCs/>
          <w:sz w:val="18"/>
          <w:szCs w:val="18"/>
        </w:rPr>
      </w:pPr>
      <w:r>
        <w:rPr>
          <w:rFonts w:eastAsia="黑体"/>
          <w:bCs/>
          <w:sz w:val="18"/>
          <w:szCs w:val="18"/>
        </w:rPr>
        <w:t xml:space="preserve">      2.</w:t>
      </w:r>
      <w:r>
        <w:rPr>
          <w:rFonts w:hint="eastAsia" w:eastAsia="黑体"/>
          <w:bCs/>
          <w:sz w:val="18"/>
          <w:szCs w:val="18"/>
        </w:rPr>
        <w:t xml:space="preserve"> </w:t>
      </w:r>
      <w:r>
        <w:rPr>
          <w:rFonts w:hAnsi="黑体" w:eastAsia="黑体"/>
          <w:bCs/>
          <w:sz w:val="18"/>
          <w:szCs w:val="18"/>
        </w:rPr>
        <w:t>若△</w:t>
      </w:r>
      <w:r>
        <w:rPr>
          <w:rFonts w:eastAsia="黑体"/>
          <w:bCs/>
          <w:sz w:val="18"/>
          <w:szCs w:val="18"/>
        </w:rPr>
        <w:t>A</w:t>
      </w:r>
      <w:r>
        <w:rPr>
          <w:rFonts w:hAnsi="黑体" w:eastAsia="黑体"/>
          <w:bCs/>
          <w:sz w:val="18"/>
          <w:szCs w:val="18"/>
        </w:rPr>
        <w:t>值在零附近徘徊，可以增加样本取样质量（如增至</w:t>
      </w:r>
      <w:r>
        <w:rPr>
          <w:rFonts w:eastAsia="黑体"/>
          <w:bCs/>
          <w:sz w:val="18"/>
          <w:szCs w:val="18"/>
        </w:rPr>
        <w:t>0.2g</w:t>
      </w:r>
      <w:r>
        <w:rPr>
          <w:rFonts w:hAnsi="黑体" w:eastAsia="黑体"/>
          <w:bCs/>
          <w:sz w:val="18"/>
          <w:szCs w:val="18"/>
        </w:rPr>
        <w:t>）或加大</w:t>
      </w:r>
      <w:r>
        <w:rPr>
          <w:rFonts w:hint="eastAsia" w:hAnsi="黑体" w:eastAsia="黑体"/>
          <w:bCs/>
          <w:sz w:val="18"/>
          <w:szCs w:val="18"/>
        </w:rPr>
        <w:t>上样</w:t>
      </w:r>
      <w:r>
        <w:rPr>
          <w:rFonts w:hAnsi="黑体" w:eastAsia="黑体"/>
          <w:bCs/>
          <w:sz w:val="18"/>
          <w:szCs w:val="18"/>
        </w:rPr>
        <w:t>量（如增至</w:t>
      </w:r>
      <w:r>
        <w:rPr>
          <w:rFonts w:eastAsia="黑体"/>
          <w:bCs/>
          <w:sz w:val="18"/>
          <w:szCs w:val="18"/>
        </w:rPr>
        <w:t>60μL</w:t>
      </w:r>
      <w:r>
        <w:rPr>
          <w:rFonts w:hAnsi="黑体" w:eastAsia="黑体"/>
          <w:bCs/>
          <w:sz w:val="18"/>
          <w:szCs w:val="18"/>
        </w:rPr>
        <w:t>，试剂一相应减少）。</w:t>
      </w:r>
    </w:p>
    <w:p w14:paraId="65B561BF">
      <w:pPr>
        <w:spacing w:line="360" w:lineRule="auto"/>
        <w:rPr>
          <w:rFonts w:hint="eastAsia" w:ascii="黑体" w:hAnsi="黑体" w:eastAsia="黑体" w:cs="黑体"/>
          <w:bCs/>
          <w:sz w:val="24"/>
          <w:szCs w:val="24"/>
        </w:rPr>
      </w:pPr>
      <w:r>
        <w:rPr>
          <w:rFonts w:hint="eastAsia" w:ascii="黑体" w:hAnsi="黑体" w:eastAsia="黑体" w:cs="黑体"/>
          <w:bCs/>
          <w:sz w:val="24"/>
          <w:szCs w:val="24"/>
        </w:rPr>
        <w:t>五、结果计算：</w:t>
      </w:r>
    </w:p>
    <w:p w14:paraId="0FCD1895">
      <w:pPr>
        <w:rPr>
          <w:rFonts w:hint="eastAsia" w:hAnsi="宋体"/>
        </w:rPr>
      </w:pPr>
      <w:r>
        <w:t>1</w:t>
      </w:r>
      <w:r>
        <w:rPr>
          <w:rFonts w:hAnsi="宋体"/>
        </w:rPr>
        <w:t>、标准</w:t>
      </w:r>
      <w:r>
        <w:rPr>
          <w:rFonts w:hint="eastAsia" w:hAnsi="宋体"/>
        </w:rPr>
        <w:t>曲线</w:t>
      </w:r>
      <w:r>
        <w:rPr>
          <w:rFonts w:hAnsi="宋体"/>
        </w:rPr>
        <w:t>为y=0.9676x+0.006；</w:t>
      </w:r>
      <w:r>
        <w:t>x</w:t>
      </w:r>
      <w:r>
        <w:rPr>
          <w:rFonts w:hAnsi="宋体"/>
        </w:rPr>
        <w:t>为标准品浓度（</w:t>
      </w:r>
      <w:r>
        <w:rPr>
          <w:szCs w:val="21"/>
        </w:rPr>
        <w:t>μ</w:t>
      </w:r>
      <w:r>
        <w:rPr>
          <w:rFonts w:hint="eastAsia"/>
        </w:rPr>
        <w:t>mol/mL</w:t>
      </w:r>
      <w:r>
        <w:rPr>
          <w:rFonts w:hAnsi="宋体"/>
        </w:rPr>
        <w:t>），</w:t>
      </w:r>
      <w:r>
        <w:t>y</w:t>
      </w:r>
      <w:r>
        <w:rPr>
          <w:rFonts w:hAnsi="宋体"/>
        </w:rPr>
        <w:t>为</w:t>
      </w:r>
      <w:r>
        <w:rPr>
          <w:rFonts w:hint="eastAsia"/>
          <w:szCs w:val="21"/>
        </w:rPr>
        <w:t>ΔA</w:t>
      </w:r>
      <w:r>
        <w:rPr>
          <w:rFonts w:hAnsi="宋体"/>
        </w:rPr>
        <w:t>。</w:t>
      </w:r>
    </w:p>
    <w:p w14:paraId="3792FC9B">
      <w:pPr>
        <w:spacing w:line="360" w:lineRule="auto"/>
        <w:jc w:val="center"/>
        <w:rPr>
          <w:rFonts w:hint="eastAsia" w:ascii="黑体" w:hAnsi="黑体" w:eastAsia="黑体" w:cs="黑体"/>
          <w:bCs/>
          <w:sz w:val="24"/>
          <w:szCs w:val="24"/>
        </w:rPr>
      </w:pPr>
      <w:r>
        <w:rPr>
          <w:rFonts w:ascii="黑体" w:hAnsi="黑体" w:eastAsia="黑体" w:cs="黑体"/>
          <w:sz w:val="24"/>
          <w:szCs w:val="24"/>
        </w:rPr>
        <w:drawing>
          <wp:inline distT="0" distB="0" distL="114300" distR="114300">
            <wp:extent cx="3542665" cy="1845945"/>
            <wp:effectExtent l="0" t="0" r="635" b="20955"/>
            <wp:docPr id="2" name="图表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14:paraId="4ADE6FFF">
      <w:pPr>
        <w:rPr>
          <w:rFonts w:hint="eastAsia"/>
          <w:bCs/>
          <w:szCs w:val="21"/>
        </w:rPr>
      </w:pPr>
      <w:r>
        <w:rPr>
          <w:rFonts w:hint="eastAsia"/>
          <w:bCs/>
          <w:szCs w:val="21"/>
        </w:rPr>
        <w:t>2</w:t>
      </w:r>
      <w:r>
        <w:rPr>
          <w:rFonts w:hAnsi="宋体"/>
        </w:rPr>
        <w:t>、</w:t>
      </w:r>
      <w:r>
        <w:rPr>
          <w:rFonts w:hint="eastAsia"/>
          <w:bCs/>
          <w:szCs w:val="21"/>
        </w:rPr>
        <w:t>按蛋白浓度计算：</w:t>
      </w:r>
    </w:p>
    <w:p w14:paraId="0BDBD333">
      <w:pPr>
        <w:ind w:firstLine="210" w:firstLineChars="100"/>
        <w:rPr>
          <w:rFonts w:hint="eastAsia"/>
          <w:bCs/>
          <w:szCs w:val="21"/>
        </w:rPr>
      </w:pPr>
      <w:r>
        <w:rPr>
          <w:bCs/>
          <w:szCs w:val="21"/>
        </w:rPr>
        <w:t>GSH</w:t>
      </w:r>
      <w:r>
        <w:rPr>
          <w:rFonts w:hint="eastAsia"/>
          <w:szCs w:val="21"/>
        </w:rPr>
        <w:t>(</w:t>
      </w:r>
      <w:r>
        <w:rPr>
          <w:bCs/>
          <w:szCs w:val="21"/>
        </w:rPr>
        <w:t>μmol/mg prot</w:t>
      </w:r>
      <w:r>
        <w:rPr>
          <w:rFonts w:hint="eastAsia"/>
          <w:bCs/>
          <w:szCs w:val="21"/>
        </w:rPr>
        <w:t>)</w:t>
      </w:r>
      <w:r>
        <w:rPr>
          <w:bCs/>
          <w:szCs w:val="21"/>
        </w:rPr>
        <w:t>=</w:t>
      </w:r>
      <w:r>
        <w:rPr>
          <w:rFonts w:hint="eastAsia"/>
          <w:bCs/>
          <w:szCs w:val="21"/>
        </w:rPr>
        <w:t>[(</w:t>
      </w:r>
      <w:r>
        <w:rPr>
          <w:rFonts w:hint="eastAsia" w:cs="宋体"/>
          <w:bCs/>
          <w:sz w:val="18"/>
          <w:szCs w:val="18"/>
        </w:rPr>
        <w:t>△</w:t>
      </w:r>
      <w:r>
        <w:rPr>
          <w:bCs/>
          <w:szCs w:val="21"/>
        </w:rPr>
        <w:t>A</w:t>
      </w:r>
      <w:r>
        <w:rPr>
          <w:rFonts w:hint="eastAsia"/>
          <w:bCs/>
          <w:szCs w:val="21"/>
        </w:rPr>
        <w:t>-0.006)</w:t>
      </w:r>
      <w:r>
        <w:rPr>
          <w:bCs/>
          <w:szCs w:val="21"/>
        </w:rPr>
        <w:t>÷</w:t>
      </w:r>
      <w:r>
        <w:rPr>
          <w:rFonts w:hint="eastAsia"/>
          <w:bCs/>
          <w:szCs w:val="21"/>
        </w:rPr>
        <w:t>0.9676</w:t>
      </w:r>
      <w:r>
        <w:rPr>
          <w:bCs/>
          <w:szCs w:val="21"/>
        </w:rPr>
        <w:t>×V</w:t>
      </w:r>
      <w:r>
        <w:rPr>
          <w:rFonts w:hint="eastAsia"/>
          <w:bCs/>
          <w:szCs w:val="21"/>
        </w:rPr>
        <w:t>1]</w:t>
      </w:r>
      <w:r>
        <w:rPr>
          <w:bCs/>
          <w:szCs w:val="21"/>
        </w:rPr>
        <w:t>÷</w:t>
      </w:r>
      <w:r>
        <w:rPr>
          <w:rFonts w:hint="eastAsia"/>
          <w:bCs/>
          <w:szCs w:val="21"/>
        </w:rPr>
        <w:t>(</w:t>
      </w:r>
      <w:r>
        <w:rPr>
          <w:bCs/>
          <w:szCs w:val="21"/>
        </w:rPr>
        <w:t>V</w:t>
      </w:r>
      <w:r>
        <w:rPr>
          <w:rFonts w:hint="eastAsia"/>
          <w:bCs/>
          <w:szCs w:val="21"/>
        </w:rPr>
        <w:t>1</w:t>
      </w:r>
      <w:r>
        <w:rPr>
          <w:bCs/>
          <w:szCs w:val="21"/>
        </w:rPr>
        <w:t>×Cpr</w:t>
      </w:r>
      <w:r>
        <w:rPr>
          <w:rFonts w:hint="eastAsia"/>
          <w:bCs/>
          <w:szCs w:val="21"/>
        </w:rPr>
        <w:t>)</w:t>
      </w:r>
      <w:r>
        <w:rPr>
          <w:bCs/>
          <w:szCs w:val="21"/>
        </w:rPr>
        <w:t>=</w:t>
      </w:r>
      <w:r>
        <w:rPr>
          <w:rFonts w:hint="eastAsia"/>
          <w:bCs/>
          <w:szCs w:val="21"/>
        </w:rPr>
        <w:t>1.033</w:t>
      </w:r>
      <w:r>
        <w:rPr>
          <w:bCs/>
          <w:szCs w:val="21"/>
        </w:rPr>
        <w:t>×</w:t>
      </w:r>
      <w:r>
        <w:rPr>
          <w:rFonts w:hint="eastAsia"/>
          <w:bCs/>
          <w:szCs w:val="21"/>
        </w:rPr>
        <w:t>(</w:t>
      </w:r>
      <w:r>
        <w:rPr>
          <w:rFonts w:hint="eastAsia" w:cs="宋体"/>
          <w:bCs/>
          <w:sz w:val="18"/>
          <w:szCs w:val="18"/>
        </w:rPr>
        <w:t>△</w:t>
      </w:r>
      <w:r>
        <w:rPr>
          <w:bCs/>
          <w:szCs w:val="21"/>
        </w:rPr>
        <w:t>A</w:t>
      </w:r>
      <w:r>
        <w:rPr>
          <w:rFonts w:hint="eastAsia"/>
          <w:bCs/>
          <w:szCs w:val="21"/>
        </w:rPr>
        <w:t>-0.006)</w:t>
      </w:r>
      <w:r>
        <w:rPr>
          <w:bCs/>
          <w:szCs w:val="21"/>
        </w:rPr>
        <w:t>÷Cpr</w:t>
      </w:r>
    </w:p>
    <w:p w14:paraId="76AC3066">
      <w:pPr>
        <w:rPr>
          <w:rFonts w:hint="eastAsia"/>
          <w:bCs/>
          <w:szCs w:val="21"/>
        </w:rPr>
      </w:pPr>
    </w:p>
    <w:p w14:paraId="4F3E95DB">
      <w:pPr>
        <w:rPr>
          <w:rFonts w:hint="eastAsia"/>
          <w:bCs/>
          <w:szCs w:val="21"/>
        </w:rPr>
      </w:pPr>
      <w:r>
        <w:rPr>
          <w:rFonts w:hint="eastAsia"/>
          <w:bCs/>
          <w:szCs w:val="21"/>
        </w:rPr>
        <w:t>3</w:t>
      </w:r>
      <w:r>
        <w:rPr>
          <w:rFonts w:hAnsi="宋体"/>
        </w:rPr>
        <w:t>、</w:t>
      </w:r>
      <w:r>
        <w:rPr>
          <w:bCs/>
          <w:szCs w:val="21"/>
        </w:rPr>
        <w:t>按样本</w:t>
      </w:r>
      <w:r>
        <w:rPr>
          <w:rFonts w:hint="eastAsia"/>
          <w:bCs/>
          <w:szCs w:val="21"/>
        </w:rPr>
        <w:t>鲜重</w:t>
      </w:r>
      <w:r>
        <w:rPr>
          <w:bCs/>
          <w:szCs w:val="21"/>
        </w:rPr>
        <w:t>计算</w:t>
      </w:r>
      <w:r>
        <w:rPr>
          <w:rFonts w:hint="eastAsia"/>
          <w:bCs/>
          <w:szCs w:val="21"/>
        </w:rPr>
        <w:t>：</w:t>
      </w:r>
    </w:p>
    <w:p w14:paraId="7F7EA157">
      <w:pPr>
        <w:ind w:firstLine="210" w:firstLineChars="100"/>
        <w:rPr>
          <w:rFonts w:hint="eastAsia"/>
          <w:bCs/>
          <w:szCs w:val="21"/>
        </w:rPr>
      </w:pPr>
      <w:r>
        <w:rPr>
          <w:bCs/>
          <w:szCs w:val="21"/>
        </w:rPr>
        <w:t>GSH</w:t>
      </w:r>
      <w:r>
        <w:rPr>
          <w:rFonts w:hint="eastAsia"/>
          <w:szCs w:val="21"/>
        </w:rPr>
        <w:t>(</w:t>
      </w:r>
      <w:r>
        <w:rPr>
          <w:bCs/>
          <w:szCs w:val="21"/>
        </w:rPr>
        <w:t>μmol/g</w:t>
      </w:r>
      <w:r>
        <w:rPr>
          <w:rFonts w:hint="eastAsia"/>
          <w:bCs/>
          <w:szCs w:val="21"/>
        </w:rPr>
        <w:t xml:space="preserve"> 鲜重)</w:t>
      </w:r>
      <w:r>
        <w:rPr>
          <w:bCs/>
          <w:szCs w:val="21"/>
        </w:rPr>
        <w:t>=</w:t>
      </w:r>
      <w:r>
        <w:rPr>
          <w:rFonts w:hint="eastAsia"/>
          <w:bCs/>
          <w:szCs w:val="21"/>
        </w:rPr>
        <w:t>[(</w:t>
      </w:r>
      <w:r>
        <w:rPr>
          <w:rFonts w:hint="eastAsia" w:cs="宋体"/>
          <w:bCs/>
          <w:sz w:val="18"/>
          <w:szCs w:val="18"/>
        </w:rPr>
        <w:t>△</w:t>
      </w:r>
      <w:r>
        <w:rPr>
          <w:bCs/>
          <w:szCs w:val="21"/>
        </w:rPr>
        <w:t>A</w:t>
      </w:r>
      <w:r>
        <w:rPr>
          <w:rFonts w:hint="eastAsia"/>
          <w:bCs/>
          <w:szCs w:val="21"/>
        </w:rPr>
        <w:t>-0.006)</w:t>
      </w:r>
      <w:r>
        <w:rPr>
          <w:bCs/>
          <w:szCs w:val="21"/>
        </w:rPr>
        <w:t>÷</w:t>
      </w:r>
      <w:r>
        <w:rPr>
          <w:rFonts w:hint="eastAsia"/>
          <w:bCs/>
          <w:szCs w:val="21"/>
        </w:rPr>
        <w:t>0.9676</w:t>
      </w:r>
      <w:r>
        <w:rPr>
          <w:bCs/>
          <w:szCs w:val="21"/>
        </w:rPr>
        <w:t>×V</w:t>
      </w:r>
      <w:r>
        <w:rPr>
          <w:rFonts w:hint="eastAsia"/>
          <w:bCs/>
          <w:szCs w:val="21"/>
        </w:rPr>
        <w:t>1]</w:t>
      </w:r>
      <w:r>
        <w:rPr>
          <w:bCs/>
          <w:szCs w:val="21"/>
        </w:rPr>
        <w:t>÷</w:t>
      </w:r>
      <w:r>
        <w:rPr>
          <w:rFonts w:hint="eastAsia"/>
          <w:bCs/>
          <w:szCs w:val="21"/>
        </w:rPr>
        <w:t>(</w:t>
      </w:r>
      <w:r>
        <w:rPr>
          <w:bCs/>
          <w:szCs w:val="21"/>
        </w:rPr>
        <w:t>W×V</w:t>
      </w:r>
      <w:r>
        <w:rPr>
          <w:rFonts w:hint="eastAsia"/>
          <w:bCs/>
          <w:szCs w:val="21"/>
        </w:rPr>
        <w:t>1</w:t>
      </w:r>
      <w:r>
        <w:rPr>
          <w:bCs/>
          <w:szCs w:val="21"/>
        </w:rPr>
        <w:t>÷V</w:t>
      </w:r>
      <w:r>
        <w:rPr>
          <w:rFonts w:hint="eastAsia"/>
          <w:bCs/>
          <w:szCs w:val="21"/>
        </w:rPr>
        <w:t>)</w:t>
      </w:r>
      <w:r>
        <w:rPr>
          <w:bCs/>
          <w:szCs w:val="21"/>
        </w:rPr>
        <w:t>=</w:t>
      </w:r>
      <w:r>
        <w:rPr>
          <w:rFonts w:hint="eastAsia"/>
          <w:bCs/>
          <w:szCs w:val="21"/>
        </w:rPr>
        <w:t>1.033</w:t>
      </w:r>
      <w:r>
        <w:rPr>
          <w:bCs/>
          <w:szCs w:val="21"/>
        </w:rPr>
        <w:t>×</w:t>
      </w:r>
      <w:r>
        <w:rPr>
          <w:rFonts w:hint="eastAsia"/>
          <w:bCs/>
          <w:szCs w:val="21"/>
        </w:rPr>
        <w:t>(</w:t>
      </w:r>
      <w:r>
        <w:rPr>
          <w:rFonts w:hint="eastAsia" w:cs="宋体"/>
          <w:bCs/>
          <w:sz w:val="18"/>
          <w:szCs w:val="18"/>
        </w:rPr>
        <w:t>△</w:t>
      </w:r>
      <w:r>
        <w:rPr>
          <w:bCs/>
          <w:szCs w:val="21"/>
        </w:rPr>
        <w:t>A</w:t>
      </w:r>
      <w:r>
        <w:rPr>
          <w:rFonts w:hint="eastAsia"/>
          <w:bCs/>
          <w:szCs w:val="21"/>
        </w:rPr>
        <w:t>-0.006)</w:t>
      </w:r>
      <w:r>
        <w:rPr>
          <w:bCs/>
          <w:szCs w:val="21"/>
        </w:rPr>
        <w:t>÷W</w:t>
      </w:r>
    </w:p>
    <w:p w14:paraId="21472AC6">
      <w:pPr>
        <w:rPr>
          <w:rFonts w:hint="eastAsia"/>
          <w:szCs w:val="21"/>
        </w:rPr>
      </w:pPr>
    </w:p>
    <w:p w14:paraId="2CB78EEA">
      <w:pPr>
        <w:rPr>
          <w:rFonts w:hint="eastAsia"/>
          <w:szCs w:val="21"/>
        </w:rPr>
      </w:pPr>
      <w:r>
        <w:rPr>
          <w:rFonts w:hint="eastAsia"/>
          <w:szCs w:val="21"/>
        </w:rPr>
        <w:t>4</w:t>
      </w:r>
      <w:r>
        <w:rPr>
          <w:rFonts w:hAnsi="宋体"/>
        </w:rPr>
        <w:t>、</w:t>
      </w:r>
      <w:r>
        <w:rPr>
          <w:rFonts w:hint="eastAsia"/>
          <w:szCs w:val="21"/>
        </w:rPr>
        <w:t>按细胞数量计算：</w:t>
      </w:r>
    </w:p>
    <w:p w14:paraId="42F0AEF2">
      <w:pPr>
        <w:ind w:firstLine="210" w:firstLineChars="100"/>
        <w:rPr>
          <w:rFonts w:hint="eastAsia"/>
          <w:bCs/>
          <w:szCs w:val="21"/>
        </w:rPr>
      </w:pPr>
      <w:r>
        <w:rPr>
          <w:bCs/>
          <w:szCs w:val="21"/>
        </w:rPr>
        <w:t>GSH</w:t>
      </w:r>
      <w:r>
        <w:rPr>
          <w:rFonts w:hint="eastAsia"/>
          <w:szCs w:val="21"/>
        </w:rPr>
        <w:t>(</w:t>
      </w:r>
      <w:r>
        <w:rPr>
          <w:bCs/>
          <w:szCs w:val="21"/>
        </w:rPr>
        <w:t>μmol</w:t>
      </w:r>
      <w:r>
        <w:rPr>
          <w:szCs w:val="21"/>
        </w:rPr>
        <w:t>/</w:t>
      </w:r>
      <w:r>
        <w:rPr>
          <w:rFonts w:hint="eastAsia" w:hAnsi="宋体"/>
          <w:szCs w:val="21"/>
        </w:rPr>
        <w:t>10</w:t>
      </w:r>
      <w:r>
        <w:rPr>
          <w:rFonts w:hint="eastAsia" w:hAnsi="宋体"/>
          <w:szCs w:val="21"/>
          <w:vertAlign w:val="superscript"/>
        </w:rPr>
        <w:t xml:space="preserve">4 </w:t>
      </w:r>
      <w:r>
        <w:rPr>
          <w:rFonts w:hint="eastAsia" w:hAnsi="宋体"/>
          <w:szCs w:val="21"/>
        </w:rPr>
        <w:t>cell</w:t>
      </w:r>
      <w:r>
        <w:rPr>
          <w:rFonts w:hint="eastAsia"/>
          <w:szCs w:val="21"/>
        </w:rPr>
        <w:t>)</w:t>
      </w:r>
      <w:r>
        <w:rPr>
          <w:bCs/>
          <w:szCs w:val="21"/>
        </w:rPr>
        <w:t>=</w:t>
      </w:r>
      <w:r>
        <w:rPr>
          <w:rFonts w:hint="eastAsia"/>
          <w:bCs/>
          <w:szCs w:val="21"/>
        </w:rPr>
        <w:t>[(</w:t>
      </w:r>
      <w:r>
        <w:rPr>
          <w:rFonts w:hint="eastAsia" w:cs="宋体"/>
          <w:bCs/>
          <w:sz w:val="18"/>
          <w:szCs w:val="18"/>
        </w:rPr>
        <w:t>△</w:t>
      </w:r>
      <w:r>
        <w:rPr>
          <w:bCs/>
          <w:szCs w:val="21"/>
        </w:rPr>
        <w:t>A</w:t>
      </w:r>
      <w:r>
        <w:rPr>
          <w:rFonts w:hint="eastAsia"/>
          <w:bCs/>
          <w:szCs w:val="21"/>
        </w:rPr>
        <w:t>-0.006)</w:t>
      </w:r>
      <w:r>
        <w:rPr>
          <w:bCs/>
          <w:szCs w:val="21"/>
        </w:rPr>
        <w:t>÷</w:t>
      </w:r>
      <w:r>
        <w:rPr>
          <w:rFonts w:hint="eastAsia"/>
          <w:bCs/>
          <w:szCs w:val="21"/>
        </w:rPr>
        <w:t>0.9676</w:t>
      </w:r>
      <w:r>
        <w:rPr>
          <w:bCs/>
          <w:szCs w:val="21"/>
        </w:rPr>
        <w:t>×V</w:t>
      </w:r>
      <w:r>
        <w:rPr>
          <w:rFonts w:hint="eastAsia"/>
          <w:bCs/>
          <w:szCs w:val="21"/>
        </w:rPr>
        <w:t>1]</w:t>
      </w:r>
      <w:r>
        <w:rPr>
          <w:szCs w:val="21"/>
        </w:rPr>
        <w:t>÷</w:t>
      </w:r>
      <w:r>
        <w:rPr>
          <w:rFonts w:hint="eastAsia"/>
          <w:szCs w:val="21"/>
        </w:rPr>
        <w:t>(500</w:t>
      </w:r>
      <w:r>
        <w:rPr>
          <w:szCs w:val="21"/>
        </w:rPr>
        <w:t>×V</w:t>
      </w:r>
      <w:r>
        <w:rPr>
          <w:rFonts w:hint="eastAsia" w:hAnsi="宋体"/>
          <w:szCs w:val="21"/>
        </w:rPr>
        <w:t>1</w:t>
      </w:r>
      <w:r>
        <w:rPr>
          <w:szCs w:val="21"/>
        </w:rPr>
        <w:t>÷V</w:t>
      </w:r>
      <w:r>
        <w:rPr>
          <w:rFonts w:hint="eastAsia"/>
          <w:szCs w:val="21"/>
        </w:rPr>
        <w:t>)</w:t>
      </w:r>
      <w:r>
        <w:rPr>
          <w:bCs/>
          <w:szCs w:val="21"/>
        </w:rPr>
        <w:t>=</w:t>
      </w:r>
      <w:r>
        <w:rPr>
          <w:rFonts w:hint="eastAsia"/>
          <w:bCs/>
          <w:szCs w:val="21"/>
        </w:rPr>
        <w:t>1.033</w:t>
      </w:r>
      <w:r>
        <w:rPr>
          <w:bCs/>
          <w:szCs w:val="21"/>
        </w:rPr>
        <w:t>×</w:t>
      </w:r>
      <w:r>
        <w:rPr>
          <w:rFonts w:hint="eastAsia"/>
          <w:bCs/>
          <w:szCs w:val="21"/>
        </w:rPr>
        <w:t>(</w:t>
      </w:r>
      <w:r>
        <w:rPr>
          <w:rFonts w:hint="eastAsia" w:cs="宋体"/>
          <w:bCs/>
          <w:sz w:val="18"/>
          <w:szCs w:val="18"/>
        </w:rPr>
        <w:t>△</w:t>
      </w:r>
      <w:r>
        <w:rPr>
          <w:bCs/>
          <w:szCs w:val="21"/>
        </w:rPr>
        <w:t>A</w:t>
      </w:r>
      <w:r>
        <w:rPr>
          <w:rFonts w:hint="eastAsia"/>
          <w:bCs/>
          <w:szCs w:val="21"/>
        </w:rPr>
        <w:t>-0.006)</w:t>
      </w:r>
      <w:r>
        <w:rPr>
          <w:bCs/>
          <w:szCs w:val="21"/>
        </w:rPr>
        <w:t xml:space="preserve"> ÷</w:t>
      </w:r>
      <w:r>
        <w:rPr>
          <w:rFonts w:hint="eastAsia"/>
          <w:bCs/>
          <w:szCs w:val="21"/>
        </w:rPr>
        <w:t>500</w:t>
      </w:r>
    </w:p>
    <w:p w14:paraId="1FC3D151">
      <w:pPr>
        <w:rPr>
          <w:rFonts w:hint="eastAsia"/>
          <w:bCs/>
          <w:szCs w:val="21"/>
        </w:rPr>
      </w:pPr>
    </w:p>
    <w:p w14:paraId="641134DE">
      <w:pPr>
        <w:rPr>
          <w:rFonts w:hint="eastAsia"/>
          <w:bCs/>
          <w:szCs w:val="21"/>
        </w:rPr>
      </w:pPr>
      <w:r>
        <w:rPr>
          <w:rFonts w:hint="eastAsia"/>
          <w:bCs/>
          <w:szCs w:val="21"/>
        </w:rPr>
        <w:t>5</w:t>
      </w:r>
      <w:r>
        <w:rPr>
          <w:rFonts w:hAnsi="宋体"/>
        </w:rPr>
        <w:t>、</w:t>
      </w:r>
      <w:r>
        <w:rPr>
          <w:rFonts w:hint="eastAsia"/>
          <w:bCs/>
          <w:szCs w:val="21"/>
        </w:rPr>
        <w:t>按液体体积计算：</w:t>
      </w:r>
    </w:p>
    <w:p w14:paraId="2D59E70B">
      <w:pPr>
        <w:ind w:firstLine="210" w:firstLineChars="100"/>
        <w:rPr>
          <w:rFonts w:hint="eastAsia" w:ascii="黑体" w:hAnsi="黑体" w:eastAsia="黑体" w:cs="黑体"/>
          <w:bCs/>
          <w:sz w:val="24"/>
          <w:szCs w:val="24"/>
        </w:rPr>
      </w:pPr>
      <w:r>
        <w:rPr>
          <w:bCs/>
          <w:szCs w:val="21"/>
        </w:rPr>
        <w:t>GSH</w:t>
      </w:r>
      <w:r>
        <w:rPr>
          <w:rFonts w:hint="eastAsia"/>
          <w:szCs w:val="21"/>
        </w:rPr>
        <w:t>(</w:t>
      </w:r>
      <w:r>
        <w:rPr>
          <w:bCs/>
          <w:szCs w:val="21"/>
        </w:rPr>
        <w:t>μmol/mL</w:t>
      </w:r>
      <w:r>
        <w:rPr>
          <w:rFonts w:hint="eastAsia"/>
          <w:bCs/>
          <w:szCs w:val="21"/>
        </w:rPr>
        <w:t>)</w:t>
      </w:r>
      <w:r>
        <w:rPr>
          <w:bCs/>
          <w:szCs w:val="21"/>
        </w:rPr>
        <w:t>=</w:t>
      </w:r>
      <w:r>
        <w:rPr>
          <w:rFonts w:hint="eastAsia"/>
          <w:bCs/>
          <w:szCs w:val="21"/>
        </w:rPr>
        <w:t>[(</w:t>
      </w:r>
      <w:r>
        <w:rPr>
          <w:rFonts w:hint="eastAsia" w:cs="宋体"/>
          <w:bCs/>
          <w:sz w:val="18"/>
          <w:szCs w:val="18"/>
        </w:rPr>
        <w:t>△</w:t>
      </w:r>
      <w:r>
        <w:rPr>
          <w:bCs/>
          <w:szCs w:val="21"/>
        </w:rPr>
        <w:t>A</w:t>
      </w:r>
      <w:r>
        <w:rPr>
          <w:rFonts w:hint="eastAsia"/>
          <w:bCs/>
          <w:szCs w:val="21"/>
        </w:rPr>
        <w:t>-0.006)</w:t>
      </w:r>
      <w:r>
        <w:rPr>
          <w:bCs/>
          <w:szCs w:val="21"/>
        </w:rPr>
        <w:t>÷</w:t>
      </w:r>
      <w:r>
        <w:rPr>
          <w:rFonts w:hint="eastAsia"/>
          <w:bCs/>
          <w:szCs w:val="21"/>
        </w:rPr>
        <w:t>0.9676</w:t>
      </w:r>
      <w:r>
        <w:rPr>
          <w:bCs/>
          <w:szCs w:val="21"/>
        </w:rPr>
        <w:t>×V</w:t>
      </w:r>
      <w:r>
        <w:rPr>
          <w:rFonts w:hint="eastAsia"/>
          <w:bCs/>
          <w:szCs w:val="21"/>
        </w:rPr>
        <w:t>1]</w:t>
      </w:r>
      <w:r>
        <w:rPr>
          <w:bCs/>
          <w:szCs w:val="21"/>
        </w:rPr>
        <w:t>÷</w:t>
      </w:r>
      <w:r>
        <w:rPr>
          <w:rFonts w:hint="eastAsia"/>
          <w:bCs/>
          <w:szCs w:val="21"/>
        </w:rPr>
        <w:t>V1</w:t>
      </w:r>
      <w:r>
        <w:rPr>
          <w:bCs/>
          <w:szCs w:val="21"/>
        </w:rPr>
        <w:t>=</w:t>
      </w:r>
      <w:r>
        <w:rPr>
          <w:rFonts w:hint="eastAsia"/>
          <w:bCs/>
          <w:szCs w:val="21"/>
        </w:rPr>
        <w:t>1.033</w:t>
      </w:r>
      <w:r>
        <w:rPr>
          <w:bCs/>
          <w:szCs w:val="21"/>
        </w:rPr>
        <w:t>×</w:t>
      </w:r>
      <w:r>
        <w:rPr>
          <w:rFonts w:hint="eastAsia"/>
          <w:bCs/>
          <w:szCs w:val="21"/>
        </w:rPr>
        <w:t>(</w:t>
      </w:r>
      <w:r>
        <w:rPr>
          <w:rFonts w:hint="eastAsia" w:cs="宋体"/>
          <w:bCs/>
          <w:sz w:val="18"/>
          <w:szCs w:val="18"/>
        </w:rPr>
        <w:t>△</w:t>
      </w:r>
      <w:r>
        <w:rPr>
          <w:bCs/>
          <w:szCs w:val="21"/>
        </w:rPr>
        <w:t>A</w:t>
      </w:r>
      <w:r>
        <w:rPr>
          <w:rFonts w:hint="eastAsia"/>
          <w:bCs/>
          <w:szCs w:val="21"/>
        </w:rPr>
        <w:t>-0.006)</w:t>
      </w:r>
    </w:p>
    <w:p w14:paraId="3DB8EA2D">
      <w:pPr>
        <w:rPr>
          <w:rFonts w:hint="eastAsia" w:ascii="黑体" w:hAnsi="黑体" w:eastAsia="黑体" w:cs="黑体"/>
          <w:bCs/>
          <w:sz w:val="24"/>
          <w:szCs w:val="24"/>
        </w:rPr>
      </w:pPr>
      <w:r>
        <w:rPr>
          <w:rFonts w:hint="eastAsia" w:ascii="黑体" w:hAnsi="黑体" w:eastAsia="黑体" w:cs="黑体"/>
          <w:bCs/>
          <w:sz w:val="24"/>
          <w:szCs w:val="24"/>
        </w:rPr>
        <w:t xml:space="preserve">    </w:t>
      </w:r>
    </w:p>
    <w:p w14:paraId="79A726BB">
      <w:pPr>
        <w:rPr>
          <w:rFonts w:hint="eastAsia"/>
          <w:bCs/>
          <w:szCs w:val="21"/>
        </w:rPr>
      </w:pPr>
    </w:p>
    <w:p w14:paraId="5F771AC3">
      <w:pPr>
        <w:rPr>
          <w:rFonts w:hint="eastAsia"/>
          <w:bCs/>
          <w:szCs w:val="21"/>
        </w:rPr>
      </w:pPr>
      <w:r>
        <w:rPr>
          <w:bCs/>
          <w:szCs w:val="21"/>
        </w:rPr>
        <w:t>V</w:t>
      </w:r>
      <w:r>
        <w:rPr>
          <w:rFonts w:hint="eastAsia"/>
          <w:bCs/>
          <w:szCs w:val="21"/>
        </w:rPr>
        <w:t>---</w:t>
      </w:r>
      <w:r>
        <w:rPr>
          <w:bCs/>
          <w:szCs w:val="21"/>
        </w:rPr>
        <w:t>上清液总体积，</w:t>
      </w:r>
      <w:r>
        <w:rPr>
          <w:rFonts w:hint="eastAsia"/>
          <w:bCs/>
          <w:szCs w:val="21"/>
        </w:rPr>
        <w:t>1mL</w:t>
      </w:r>
      <w:r>
        <w:rPr>
          <w:bCs/>
          <w:szCs w:val="21"/>
        </w:rPr>
        <w:t>；</w:t>
      </w:r>
      <w:r>
        <w:rPr>
          <w:rFonts w:hint="eastAsia"/>
          <w:bCs/>
          <w:szCs w:val="21"/>
        </w:rPr>
        <w:t xml:space="preserve">         </w:t>
      </w:r>
      <w:r>
        <w:rPr>
          <w:bCs/>
          <w:szCs w:val="21"/>
        </w:rPr>
        <w:t>V</w:t>
      </w:r>
      <w:r>
        <w:rPr>
          <w:rFonts w:hint="eastAsia"/>
          <w:bCs/>
          <w:szCs w:val="21"/>
        </w:rPr>
        <w:t>1---</w:t>
      </w:r>
      <w:r>
        <w:rPr>
          <w:bCs/>
          <w:szCs w:val="21"/>
        </w:rPr>
        <w:t>加入反应体系中上清液体积，</w:t>
      </w:r>
      <w:r>
        <w:rPr>
          <w:rFonts w:hint="eastAsia"/>
          <w:bCs/>
          <w:szCs w:val="21"/>
        </w:rPr>
        <w:t>2</w:t>
      </w:r>
      <w:r>
        <w:rPr>
          <w:bCs/>
          <w:szCs w:val="21"/>
        </w:rPr>
        <w:t>0μL=</w:t>
      </w:r>
      <w:r>
        <w:rPr>
          <w:rFonts w:hint="eastAsia"/>
          <w:bCs/>
          <w:szCs w:val="21"/>
        </w:rPr>
        <w:t>0.02</w:t>
      </w:r>
      <w:r>
        <w:rPr>
          <w:bCs/>
          <w:szCs w:val="21"/>
        </w:rPr>
        <w:t xml:space="preserve"> mL；</w:t>
      </w:r>
      <w:r>
        <w:rPr>
          <w:rFonts w:hint="eastAsia"/>
          <w:bCs/>
          <w:szCs w:val="21"/>
        </w:rPr>
        <w:t xml:space="preserve">       </w:t>
      </w:r>
    </w:p>
    <w:p w14:paraId="479354D5">
      <w:pPr>
        <w:rPr>
          <w:bCs/>
          <w:szCs w:val="21"/>
        </w:rPr>
      </w:pPr>
      <w:r>
        <w:rPr>
          <w:bCs/>
          <w:szCs w:val="21"/>
        </w:rPr>
        <w:t>W</w:t>
      </w:r>
      <w:r>
        <w:rPr>
          <w:rFonts w:hint="eastAsia"/>
          <w:bCs/>
          <w:szCs w:val="21"/>
        </w:rPr>
        <w:t>---</w:t>
      </w:r>
      <w:r>
        <w:rPr>
          <w:bCs/>
          <w:szCs w:val="21"/>
        </w:rPr>
        <w:t>样品质量，</w:t>
      </w:r>
      <w:r>
        <w:rPr>
          <w:rFonts w:hint="eastAsia"/>
          <w:bCs/>
          <w:szCs w:val="21"/>
        </w:rPr>
        <w:t>g；        500---细菌/细胞数量，万；         GSH分子量---307.3；</w:t>
      </w:r>
    </w:p>
    <w:p w14:paraId="618F9A33">
      <w:pPr>
        <w:rPr>
          <w:rFonts w:hint="eastAsia"/>
          <w:bCs/>
          <w:szCs w:val="21"/>
        </w:rPr>
      </w:pPr>
      <w:r>
        <w:rPr>
          <w:bCs/>
          <w:szCs w:val="21"/>
        </w:rPr>
        <w:t>Cpr</w:t>
      </w:r>
      <w:r>
        <w:rPr>
          <w:rFonts w:hint="eastAsia"/>
          <w:bCs/>
          <w:szCs w:val="21"/>
        </w:rPr>
        <w:t>---</w:t>
      </w:r>
      <w:r>
        <w:rPr>
          <w:bCs/>
          <w:szCs w:val="21"/>
        </w:rPr>
        <w:t>蛋白质浓度，mg/mL；</w:t>
      </w:r>
      <w:r>
        <w:rPr>
          <w:rFonts w:hint="eastAsia"/>
          <w:bCs/>
          <w:szCs w:val="21"/>
        </w:rPr>
        <w:t>建议使用本公司的蛋白含量检测试剂盒。</w:t>
      </w:r>
    </w:p>
    <w:p w14:paraId="0F86C7D5">
      <w:pPr>
        <w:rPr>
          <w:rFonts w:hint="eastAsia"/>
          <w:bCs/>
          <w:szCs w:val="21"/>
        </w:rPr>
      </w:pPr>
      <w:r>
        <w:rPr>
          <w:rFonts w:hint="eastAsia" w:eastAsia="黑体" w:cs="黑体"/>
          <w:bCs/>
          <w:sz w:val="24"/>
          <w:szCs w:val="24"/>
        </w:rPr>
        <w:t>注意事项：</w:t>
      </w:r>
      <w:r>
        <w:rPr>
          <w:bCs/>
          <w:szCs w:val="21"/>
        </w:rPr>
        <w:t>上清液不能用于蛋白</w:t>
      </w:r>
      <w:r>
        <w:rPr>
          <w:rFonts w:hint="eastAsia"/>
          <w:bCs/>
          <w:szCs w:val="21"/>
        </w:rPr>
        <w:t>质</w:t>
      </w:r>
      <w:r>
        <w:rPr>
          <w:bCs/>
          <w:szCs w:val="21"/>
        </w:rPr>
        <w:t>浓度测定。</w:t>
      </w:r>
    </w:p>
    <w:p w14:paraId="2319E0C8">
      <w:pPr>
        <w:spacing w:line="400" w:lineRule="exact"/>
        <w:rPr>
          <w:rFonts w:hint="eastAsia"/>
        </w:rPr>
      </w:pPr>
      <w:r>
        <w:rPr>
          <w:rFonts w:hint="eastAsia"/>
        </w:rPr>
        <w:t>附：标准曲线制作过程：</w:t>
      </w:r>
    </w:p>
    <w:p w14:paraId="29EDA12E">
      <w:pPr>
        <w:numPr>
          <w:ilvl w:val="0"/>
          <w:numId w:val="2"/>
        </w:numPr>
        <w:rPr>
          <w:rFonts w:hint="eastAsia"/>
        </w:rPr>
      </w:pPr>
      <w:r>
        <w:rPr>
          <w:rFonts w:hint="eastAsia"/>
        </w:rPr>
        <w:t>制备标准品母液（10</w:t>
      </w:r>
      <w:r>
        <w:rPr>
          <w:szCs w:val="21"/>
        </w:rPr>
        <w:t>μ</w:t>
      </w:r>
      <w:r>
        <w:rPr>
          <w:rFonts w:hint="eastAsia"/>
          <w:szCs w:val="21"/>
        </w:rPr>
        <w:t>mol/</w:t>
      </w:r>
      <w:r>
        <w:rPr>
          <w:rFonts w:hint="eastAsia"/>
        </w:rPr>
        <w:t>m</w:t>
      </w:r>
      <w:r>
        <w:t>L</w:t>
      </w:r>
      <w:r>
        <w:rPr>
          <w:rFonts w:hint="eastAsia"/>
        </w:rPr>
        <w:t>）：标准品溶于4mL蒸馏水中（母液需在两天内用且-20</w:t>
      </w:r>
      <w:r>
        <w:rPr>
          <w:rFonts w:ascii="宋体" w:hAnsi="宋体"/>
        </w:rPr>
        <w:t>℃</w:t>
      </w:r>
      <w:r>
        <w:rPr>
          <w:rFonts w:hint="eastAsia" w:ascii="宋体" w:hAnsi="宋体"/>
        </w:rPr>
        <w:t>保存）</w:t>
      </w:r>
      <w:r>
        <w:rPr>
          <w:rFonts w:hint="eastAsia"/>
        </w:rPr>
        <w:t>。</w:t>
      </w:r>
    </w:p>
    <w:p w14:paraId="241B6619">
      <w:pPr>
        <w:numPr>
          <w:ilvl w:val="0"/>
          <w:numId w:val="2"/>
        </w:numPr>
        <w:rPr>
          <w:rFonts w:hint="eastAsia"/>
        </w:rPr>
      </w:pPr>
      <w:r>
        <w:rPr>
          <w:rFonts w:hint="eastAsia"/>
        </w:rPr>
        <w:t>把母液用蒸馏水稀释成六个浓度梯度的标准品：0, 0.2, 0.4, 0.6, 0.8, 1.</w:t>
      </w:r>
      <w:r>
        <w:rPr>
          <w:rFonts w:hint="eastAsia"/>
          <w:szCs w:val="21"/>
        </w:rPr>
        <w:t xml:space="preserve"> </w:t>
      </w:r>
      <w:r>
        <w:rPr>
          <w:szCs w:val="21"/>
        </w:rPr>
        <w:t>μ</w:t>
      </w:r>
      <w:r>
        <w:rPr>
          <w:rFonts w:hint="eastAsia"/>
          <w:szCs w:val="21"/>
        </w:rPr>
        <w:t>mol/</w:t>
      </w:r>
      <w:r>
        <w:rPr>
          <w:rFonts w:hint="eastAsia"/>
        </w:rPr>
        <w:t>m</w:t>
      </w:r>
      <w:r>
        <w:t>L</w:t>
      </w:r>
      <w:r>
        <w:rPr>
          <w:rFonts w:hint="eastAsia"/>
          <w:szCs w:val="21"/>
        </w:rPr>
        <w:t>。也可根据实际样本来调整标准品浓度。</w:t>
      </w:r>
    </w:p>
    <w:p w14:paraId="11757AB5">
      <w:pPr>
        <w:numPr>
          <w:ilvl w:val="0"/>
          <w:numId w:val="2"/>
        </w:numPr>
        <w:spacing w:line="400" w:lineRule="exact"/>
        <w:rPr>
          <w:rFonts w:hint="eastAsia" w:ascii="宋体" w:hAnsi="宋体" w:cs="Arial"/>
          <w:color w:val="000000"/>
          <w:szCs w:val="21"/>
        </w:rPr>
      </w:pPr>
      <w:r>
        <w:rPr>
          <w:rFonts w:hint="eastAsia"/>
          <w:szCs w:val="21"/>
        </w:rPr>
        <w:t>依据测定管的加样体系操作</w:t>
      </w:r>
      <w:r>
        <w:rPr>
          <w:rFonts w:hint="eastAsia"/>
        </w:rPr>
        <w:t>，根据结果</w:t>
      </w:r>
      <w:r>
        <w:rPr>
          <w:rFonts w:hint="eastAsia"/>
          <w:szCs w:val="21"/>
        </w:rPr>
        <w:t>即可制作标准曲线。</w:t>
      </w:r>
    </w:p>
    <w:p w14:paraId="0CFEA4DA">
      <w:pPr>
        <w:rPr>
          <w:rFonts w:hint="eastAsia"/>
          <w:bCs/>
          <w:szCs w:val="21"/>
        </w:rPr>
      </w:pPr>
    </w:p>
    <w:p w14:paraId="174B1613">
      <w:pPr>
        <w:pStyle w:val="2"/>
        <w:bidi w:val="0"/>
        <w:jc w:val="both"/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691" w:right="1162" w:bottom="878" w:left="1208" w:header="11" w:footer="952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Calibri">
    <w:panose1 w:val="020F0502020204030204"/>
    <w:charset w:val="01"/>
    <w:family w:val="auto"/>
    <w:pitch w:val="default"/>
    <w:sig w:usb0="E4002EFF" w:usb1="C200247B" w:usb2="00000009" w:usb3="00000000" w:csb0="2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FCFEE5D">
    <w:pPr>
      <w:pStyle w:val="5"/>
      <w:rPr>
        <w:rFonts w:hint="default"/>
        <w:lang w:val="en-US"/>
      </w:rPr>
    </w:pPr>
    <w:r>
      <w:rPr>
        <w:rFonts w:hint="eastAsia"/>
        <w:lang w:val="en-US" w:eastAsia="zh-CN"/>
      </w:rPr>
      <w:t xml:space="preserve">                                     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CBD0632">
    <w:pPr>
      <w:pStyle w:val="6"/>
      <w:pBdr>
        <w:bottom w:val="none" w:color="auto" w:sz="0" w:space="1"/>
      </w:pBdr>
      <w:tabs>
        <w:tab w:val="left" w:pos="3031"/>
        <w:tab w:val="clear" w:pos="4153"/>
      </w:tabs>
      <w:jc w:val="left"/>
      <w:rPr>
        <w:rFonts w:hint="eastAsia"/>
        <w:lang w:val="en-US" w:eastAsia="zh-CN"/>
      </w:rPr>
    </w:pPr>
    <w:r>
      <w:rPr>
        <w:rFonts w:hint="eastAsia"/>
        <w:lang w:eastAsia="zh-CN"/>
      </w:rPr>
      <w:tab/>
    </w:r>
    <w:r>
      <w:rPr>
        <w:rFonts w:hint="eastAsia"/>
        <w:lang w:val="en-US" w:eastAsia="zh-CN"/>
      </w:rPr>
      <w:t xml:space="preserve">                    </w:t>
    </w:r>
  </w:p>
  <w:p w14:paraId="38356380">
    <w:pPr>
      <w:pStyle w:val="6"/>
      <w:pBdr>
        <w:bottom w:val="none" w:color="auto" w:sz="0" w:space="1"/>
      </w:pBdr>
      <w:tabs>
        <w:tab w:val="left" w:pos="3031"/>
        <w:tab w:val="clear" w:pos="4153"/>
      </w:tabs>
      <w:ind w:firstLine="4680" w:firstLineChars="2600"/>
      <w:jc w:val="left"/>
      <w:rPr>
        <w:rFonts w:hint="eastAsia"/>
        <w:lang w:val="en-US" w:eastAsia="zh-CN"/>
      </w:rPr>
    </w:pPr>
  </w:p>
  <w:p w14:paraId="12799F96">
    <w:pPr>
      <w:pStyle w:val="6"/>
      <w:pBdr>
        <w:bottom w:val="none" w:color="auto" w:sz="0" w:space="1"/>
      </w:pBdr>
      <w:tabs>
        <w:tab w:val="left" w:pos="3031"/>
        <w:tab w:val="clear" w:pos="4153"/>
      </w:tabs>
      <w:ind w:firstLine="4680" w:firstLineChars="2600"/>
      <w:jc w:val="left"/>
      <w:rPr>
        <w:rFonts w:hint="default"/>
        <w:lang w:val="en-US" w:eastAsia="zh-CN"/>
      </w:rPr>
    </w:pPr>
    <w:r>
      <w:rPr>
        <w:rFonts w:hint="eastAsia"/>
        <w:lang w:val="en-US" w:eastAsia="zh-CN"/>
      </w:rPr>
      <w:t xml:space="preserve">           </w:t>
    </w:r>
  </w:p>
  <w:p w14:paraId="44B0BF79">
    <w:pPr>
      <w:pStyle w:val="6"/>
      <w:keepNext w:val="0"/>
      <w:keepLines w:val="0"/>
      <w:pageBreakBefore w:val="0"/>
      <w:widowControl w:val="0"/>
      <w:pBdr>
        <w:bottom w:val="none" w:color="auto" w:sz="0" w:space="1"/>
      </w:pBdr>
      <w:tabs>
        <w:tab w:val="left" w:pos="3031"/>
        <w:tab w:val="clear" w:pos="4153"/>
      </w:tabs>
      <w:kinsoku/>
      <w:wordWrap/>
      <w:overflowPunct/>
      <w:topLinePunct w:val="0"/>
      <w:autoSpaceDE/>
      <w:autoSpaceDN/>
      <w:bidi w:val="0"/>
      <w:adjustRightInd/>
      <w:snapToGrid w:val="0"/>
      <w:spacing w:line="360" w:lineRule="auto"/>
      <w:ind w:firstLine="7380" w:firstLineChars="4100"/>
      <w:jc w:val="left"/>
      <w:textAlignment w:val="auto"/>
      <w:rPr>
        <w:rFonts w:hint="eastAsia" w:asciiTheme="minorEastAsia" w:hAnsiTheme="minorEastAsia" w:eastAsiaTheme="minorEastAsia" w:cstheme="minorEastAsia"/>
        <w:b w:val="0"/>
        <w:bCs w:val="0"/>
        <w:color w:val="1C981C"/>
        <w:sz w:val="18"/>
        <w:szCs w:val="18"/>
        <w:lang w:val="en-US" w:eastAsia="zh-CN"/>
      </w:rPr>
    </w:pPr>
    <w:r>
      <w:rPr>
        <w:rFonts w:hint="eastAsia" w:asciiTheme="minorEastAsia" w:hAnsiTheme="minorEastAsia" w:eastAsiaTheme="minorEastAsia" w:cstheme="minorEastAsia"/>
        <w:b w:val="0"/>
        <w:bCs w:val="0"/>
        <w:color w:val="1C981C"/>
        <w:sz w:val="18"/>
        <w:szCs w:val="18"/>
        <w:lang w:val="en-US" w:eastAsia="zh-CN"/>
      </w:rPr>
      <w:t xml:space="preserve"> </w:t>
    </w:r>
    <w:r>
      <w:rPr>
        <w:rFonts w:hint="eastAsia" w:asciiTheme="minorEastAsia" w:hAnsiTheme="minorEastAsia" w:cstheme="minorEastAsia"/>
        <w:b w:val="0"/>
        <w:bCs w:val="0"/>
        <w:color w:val="1C981C"/>
        <w:sz w:val="18"/>
        <w:szCs w:val="18"/>
        <w:lang w:val="en-US" w:eastAsia="zh-CN"/>
      </w:rPr>
      <w:t xml:space="preserve">              </w:t>
    </w:r>
    <w:r>
      <w:rPr>
        <w:rFonts w:hint="eastAsia" w:asciiTheme="minorEastAsia" w:hAnsiTheme="minorEastAsia" w:eastAsiaTheme="minorEastAsia" w:cstheme="minorEastAsia"/>
        <w:b w:val="0"/>
        <w:bCs w:val="0"/>
        <w:color w:val="1C981C"/>
        <w:sz w:val="18"/>
        <w:szCs w:val="18"/>
        <w:lang w:val="en-US" w:eastAsia="zh-CN"/>
      </w:rPr>
      <w:t xml:space="preserve">         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B832E3F"/>
    <w:multiLevelType w:val="singleLevel"/>
    <w:tmpl w:val="9B832E3F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27DE21D9"/>
    <w:multiLevelType w:val="multilevel"/>
    <w:tmpl w:val="27DE21D9"/>
    <w:lvl w:ilvl="0" w:tentative="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200" w:hanging="420"/>
      </w:pPr>
    </w:lvl>
    <w:lvl w:ilvl="2" w:tentative="0">
      <w:start w:val="1"/>
      <w:numFmt w:val="lowerRoman"/>
      <w:lvlText w:val="%3."/>
      <w:lvlJc w:val="right"/>
      <w:pPr>
        <w:ind w:left="1620" w:hanging="420"/>
      </w:pPr>
    </w:lvl>
    <w:lvl w:ilvl="3" w:tentative="0">
      <w:start w:val="1"/>
      <w:numFmt w:val="decimal"/>
      <w:lvlText w:val="%4."/>
      <w:lvlJc w:val="left"/>
      <w:pPr>
        <w:ind w:left="2040" w:hanging="420"/>
      </w:pPr>
    </w:lvl>
    <w:lvl w:ilvl="4" w:tentative="0">
      <w:start w:val="1"/>
      <w:numFmt w:val="lowerLetter"/>
      <w:lvlText w:val="%5)"/>
      <w:lvlJc w:val="left"/>
      <w:pPr>
        <w:ind w:left="2460" w:hanging="420"/>
      </w:pPr>
    </w:lvl>
    <w:lvl w:ilvl="5" w:tentative="0">
      <w:start w:val="1"/>
      <w:numFmt w:val="lowerRoman"/>
      <w:lvlText w:val="%6."/>
      <w:lvlJc w:val="right"/>
      <w:pPr>
        <w:ind w:left="2880" w:hanging="420"/>
      </w:pPr>
    </w:lvl>
    <w:lvl w:ilvl="6" w:tentative="0">
      <w:start w:val="1"/>
      <w:numFmt w:val="decimal"/>
      <w:lvlText w:val="%7."/>
      <w:lvlJc w:val="left"/>
      <w:pPr>
        <w:ind w:left="3300" w:hanging="420"/>
      </w:pPr>
    </w:lvl>
    <w:lvl w:ilvl="7" w:tentative="0">
      <w:start w:val="1"/>
      <w:numFmt w:val="lowerLetter"/>
      <w:lvlText w:val="%8)"/>
      <w:lvlJc w:val="left"/>
      <w:pPr>
        <w:ind w:left="3720" w:hanging="420"/>
      </w:pPr>
    </w:lvl>
    <w:lvl w:ilvl="8" w:tentative="0">
      <w:start w:val="1"/>
      <w:numFmt w:val="lowerRoman"/>
      <w:lvlText w:val="%9."/>
      <w:lvlJc w:val="right"/>
      <w:pPr>
        <w:ind w:left="414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YzYWI5M2I1NWQ4YTVmZWJhMmVhMjFmMzkwMTI3ZWUifQ=="/>
  </w:docVars>
  <w:rsids>
    <w:rsidRoot w:val="54D11351"/>
    <w:rsid w:val="01200F24"/>
    <w:rsid w:val="03DB0660"/>
    <w:rsid w:val="041B6E48"/>
    <w:rsid w:val="054D2E98"/>
    <w:rsid w:val="071163A2"/>
    <w:rsid w:val="078A156F"/>
    <w:rsid w:val="08202AE5"/>
    <w:rsid w:val="084A1910"/>
    <w:rsid w:val="08786623"/>
    <w:rsid w:val="08915791"/>
    <w:rsid w:val="097F383C"/>
    <w:rsid w:val="09DC7F62"/>
    <w:rsid w:val="0A5A1386"/>
    <w:rsid w:val="0B470389"/>
    <w:rsid w:val="0BA8707A"/>
    <w:rsid w:val="0CE868F1"/>
    <w:rsid w:val="0D1D65A7"/>
    <w:rsid w:val="0D244E26"/>
    <w:rsid w:val="0D775417"/>
    <w:rsid w:val="0D9C4F94"/>
    <w:rsid w:val="0E48366F"/>
    <w:rsid w:val="100B5E29"/>
    <w:rsid w:val="100E537E"/>
    <w:rsid w:val="12085F6C"/>
    <w:rsid w:val="129C545E"/>
    <w:rsid w:val="14067033"/>
    <w:rsid w:val="14FB2389"/>
    <w:rsid w:val="150C0679"/>
    <w:rsid w:val="15F76A9F"/>
    <w:rsid w:val="1606699B"/>
    <w:rsid w:val="16ED44DA"/>
    <w:rsid w:val="17714C16"/>
    <w:rsid w:val="17CC40F0"/>
    <w:rsid w:val="184B5125"/>
    <w:rsid w:val="186941CE"/>
    <w:rsid w:val="190A3122"/>
    <w:rsid w:val="19946BF3"/>
    <w:rsid w:val="1B1A7868"/>
    <w:rsid w:val="1B3A5814"/>
    <w:rsid w:val="1B8A5D91"/>
    <w:rsid w:val="1B9211AC"/>
    <w:rsid w:val="1C100B9B"/>
    <w:rsid w:val="1C33473D"/>
    <w:rsid w:val="1C3E79EA"/>
    <w:rsid w:val="1D927B8A"/>
    <w:rsid w:val="1E6B6EAE"/>
    <w:rsid w:val="1E8F7C25"/>
    <w:rsid w:val="1F743D6E"/>
    <w:rsid w:val="2091237A"/>
    <w:rsid w:val="20A420AE"/>
    <w:rsid w:val="21B61DE3"/>
    <w:rsid w:val="225C3164"/>
    <w:rsid w:val="23D375F7"/>
    <w:rsid w:val="24AB17EA"/>
    <w:rsid w:val="251B66B7"/>
    <w:rsid w:val="265359DC"/>
    <w:rsid w:val="2744415C"/>
    <w:rsid w:val="275C700E"/>
    <w:rsid w:val="276F58C3"/>
    <w:rsid w:val="27AC1848"/>
    <w:rsid w:val="289E3886"/>
    <w:rsid w:val="29554E41"/>
    <w:rsid w:val="296879F1"/>
    <w:rsid w:val="29D50DD1"/>
    <w:rsid w:val="2A0E67EA"/>
    <w:rsid w:val="2A111E36"/>
    <w:rsid w:val="2A2658E2"/>
    <w:rsid w:val="2AA902C1"/>
    <w:rsid w:val="2AFC4894"/>
    <w:rsid w:val="2BAA43B2"/>
    <w:rsid w:val="2BE43400"/>
    <w:rsid w:val="2C425D39"/>
    <w:rsid w:val="2D265BF9"/>
    <w:rsid w:val="2E010415"/>
    <w:rsid w:val="2FE54DC9"/>
    <w:rsid w:val="300A35B0"/>
    <w:rsid w:val="30134B5A"/>
    <w:rsid w:val="309462CA"/>
    <w:rsid w:val="30F243ED"/>
    <w:rsid w:val="31FF56A1"/>
    <w:rsid w:val="33282DB8"/>
    <w:rsid w:val="3391420F"/>
    <w:rsid w:val="348A1163"/>
    <w:rsid w:val="34A52E51"/>
    <w:rsid w:val="35AD335B"/>
    <w:rsid w:val="35E11256"/>
    <w:rsid w:val="369938DF"/>
    <w:rsid w:val="36B5678E"/>
    <w:rsid w:val="36B85E2F"/>
    <w:rsid w:val="36C4095C"/>
    <w:rsid w:val="36EC1C61"/>
    <w:rsid w:val="37F7266B"/>
    <w:rsid w:val="388F1ED1"/>
    <w:rsid w:val="390F1C37"/>
    <w:rsid w:val="398048E2"/>
    <w:rsid w:val="3AD3166C"/>
    <w:rsid w:val="3C237ED3"/>
    <w:rsid w:val="3C7617C9"/>
    <w:rsid w:val="3D6604CA"/>
    <w:rsid w:val="3E065986"/>
    <w:rsid w:val="40EB11DB"/>
    <w:rsid w:val="422F6F09"/>
    <w:rsid w:val="424D6740"/>
    <w:rsid w:val="42F14EE5"/>
    <w:rsid w:val="42F26851"/>
    <w:rsid w:val="433C3EDE"/>
    <w:rsid w:val="435B43F6"/>
    <w:rsid w:val="43A01E09"/>
    <w:rsid w:val="44BD75A3"/>
    <w:rsid w:val="451F4C0D"/>
    <w:rsid w:val="46184820"/>
    <w:rsid w:val="462C02CC"/>
    <w:rsid w:val="46D5626E"/>
    <w:rsid w:val="47CA38F8"/>
    <w:rsid w:val="47EE2F8C"/>
    <w:rsid w:val="49E2099E"/>
    <w:rsid w:val="4A01204F"/>
    <w:rsid w:val="4A4F6337"/>
    <w:rsid w:val="4A563B69"/>
    <w:rsid w:val="4A6C632B"/>
    <w:rsid w:val="4A8151CC"/>
    <w:rsid w:val="4A934476"/>
    <w:rsid w:val="4AA523FB"/>
    <w:rsid w:val="4B3A64C8"/>
    <w:rsid w:val="4BFF5B3B"/>
    <w:rsid w:val="4C9170DB"/>
    <w:rsid w:val="4C9B09F1"/>
    <w:rsid w:val="50590CD9"/>
    <w:rsid w:val="50D15CF8"/>
    <w:rsid w:val="52F061DD"/>
    <w:rsid w:val="53B813F1"/>
    <w:rsid w:val="542B039D"/>
    <w:rsid w:val="54C81203"/>
    <w:rsid w:val="54D11351"/>
    <w:rsid w:val="5512068D"/>
    <w:rsid w:val="565619DD"/>
    <w:rsid w:val="567078CA"/>
    <w:rsid w:val="568E01E7"/>
    <w:rsid w:val="570F757A"/>
    <w:rsid w:val="58164938"/>
    <w:rsid w:val="586818E8"/>
    <w:rsid w:val="59084281"/>
    <w:rsid w:val="593A6404"/>
    <w:rsid w:val="599B3347"/>
    <w:rsid w:val="5A3E0D63"/>
    <w:rsid w:val="5A4E5DAA"/>
    <w:rsid w:val="5B4041A6"/>
    <w:rsid w:val="5B94004E"/>
    <w:rsid w:val="5C4A2E02"/>
    <w:rsid w:val="5C607829"/>
    <w:rsid w:val="5E506319"/>
    <w:rsid w:val="5E7F7718"/>
    <w:rsid w:val="5ED13367"/>
    <w:rsid w:val="5F916153"/>
    <w:rsid w:val="6062610E"/>
    <w:rsid w:val="60ED3BF0"/>
    <w:rsid w:val="61707DCC"/>
    <w:rsid w:val="62AE2854"/>
    <w:rsid w:val="63312626"/>
    <w:rsid w:val="63511692"/>
    <w:rsid w:val="63DA0F0F"/>
    <w:rsid w:val="64195594"/>
    <w:rsid w:val="66CD4D5B"/>
    <w:rsid w:val="67B635CB"/>
    <w:rsid w:val="67B7628A"/>
    <w:rsid w:val="67CC0B6F"/>
    <w:rsid w:val="68540A5A"/>
    <w:rsid w:val="68776D2D"/>
    <w:rsid w:val="699F295D"/>
    <w:rsid w:val="69EA3529"/>
    <w:rsid w:val="6A3B3D8A"/>
    <w:rsid w:val="6AF02DC7"/>
    <w:rsid w:val="6B232928"/>
    <w:rsid w:val="6C281E78"/>
    <w:rsid w:val="6C4433CA"/>
    <w:rsid w:val="6C9D0D2C"/>
    <w:rsid w:val="6DA6495C"/>
    <w:rsid w:val="6DAD4F9F"/>
    <w:rsid w:val="6E2C05BA"/>
    <w:rsid w:val="6EF4232C"/>
    <w:rsid w:val="702D5137"/>
    <w:rsid w:val="70545BA6"/>
    <w:rsid w:val="71F65685"/>
    <w:rsid w:val="75866801"/>
    <w:rsid w:val="75E83018"/>
    <w:rsid w:val="760E2166"/>
    <w:rsid w:val="76C05D43"/>
    <w:rsid w:val="78C25DA2"/>
    <w:rsid w:val="78C87131"/>
    <w:rsid w:val="79935991"/>
    <w:rsid w:val="79DC2E94"/>
    <w:rsid w:val="79FE105C"/>
    <w:rsid w:val="7A187C44"/>
    <w:rsid w:val="7B42766E"/>
    <w:rsid w:val="7B937ECA"/>
    <w:rsid w:val="7C0B180E"/>
    <w:rsid w:val="7C5C7201"/>
    <w:rsid w:val="7CAB4D9F"/>
    <w:rsid w:val="7F62208D"/>
    <w:rsid w:val="7FBB35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9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22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ind w:firstLine="0" w:firstLineChars="0"/>
      <w:jc w:val="both"/>
    </w:pPr>
    <w:rPr>
      <w:rFonts w:ascii="Times New Roman" w:hAnsi="Times New Roman" w:eastAsia="等线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14"/>
    <w:autoRedefine/>
    <w:qFormat/>
    <w:uiPriority w:val="0"/>
    <w:pPr>
      <w:keepNext/>
      <w:keepLines/>
      <w:spacing w:before="100" w:beforeLines="0" w:beforeAutospacing="0" w:after="100" w:afterLines="0" w:afterAutospacing="0" w:line="480" w:lineRule="exact"/>
      <w:jc w:val="center"/>
      <w:outlineLvl w:val="0"/>
    </w:pPr>
    <w:rPr>
      <w:rFonts w:eastAsia="等线"/>
      <w:b/>
      <w:kern w:val="44"/>
      <w:sz w:val="32"/>
    </w:rPr>
  </w:style>
  <w:style w:type="paragraph" w:styleId="3">
    <w:name w:val="heading 2"/>
    <w:basedOn w:val="1"/>
    <w:next w:val="1"/>
    <w:autoRedefine/>
    <w:qFormat/>
    <w:uiPriority w:val="9"/>
    <w:pPr>
      <w:keepNext/>
      <w:keepLines/>
      <w:widowControl w:val="0"/>
      <w:adjustRightInd/>
      <w:snapToGrid/>
      <w:spacing w:before="100" w:after="100" w:line="480" w:lineRule="exact"/>
      <w:jc w:val="left"/>
      <w:outlineLvl w:val="1"/>
    </w:pPr>
    <w:rPr>
      <w:rFonts w:ascii="Cambria" w:hAnsi="Cambria" w:eastAsia="等线"/>
      <w:b/>
      <w:bCs/>
      <w:sz w:val="22"/>
      <w:szCs w:val="32"/>
    </w:rPr>
  </w:style>
  <w:style w:type="character" w:default="1" w:styleId="9">
    <w:name w:val="Default Paragraph Font"/>
    <w:autoRedefine/>
    <w:semiHidden/>
    <w:qFormat/>
    <w:uiPriority w:val="0"/>
  </w:style>
  <w:style w:type="table" w:default="1" w:styleId="7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ody Text"/>
    <w:basedOn w:val="1"/>
    <w:semiHidden/>
    <w:qFormat/>
    <w:uiPriority w:val="0"/>
    <w:rPr>
      <w:rFonts w:ascii="微软雅黑" w:hAnsi="微软雅黑" w:eastAsia="微软雅黑" w:cs="微软雅黑"/>
      <w:sz w:val="24"/>
      <w:szCs w:val="24"/>
      <w:lang w:val="en-US" w:eastAsia="en-US" w:bidi="ar-SA"/>
    </w:rPr>
  </w:style>
  <w:style w:type="paragraph" w:styleId="5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autoRedefine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8">
    <w:name w:val="Table Grid"/>
    <w:basedOn w:val="7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0">
    <w:name w:val="Strong"/>
    <w:autoRedefine/>
    <w:qFormat/>
    <w:uiPriority w:val="22"/>
    <w:rPr>
      <w:b/>
    </w:rPr>
  </w:style>
  <w:style w:type="character" w:styleId="11">
    <w:name w:val="Hyperlink"/>
    <w:basedOn w:val="9"/>
    <w:autoRedefine/>
    <w:qFormat/>
    <w:uiPriority w:val="0"/>
    <w:rPr>
      <w:color w:val="0000FF"/>
      <w:u w:val="single"/>
    </w:rPr>
  </w:style>
  <w:style w:type="character" w:customStyle="1" w:styleId="12">
    <w:name w:val="font31"/>
    <w:basedOn w:val="9"/>
    <w:autoRedefine/>
    <w:qFormat/>
    <w:uiPriority w:val="0"/>
    <w:rPr>
      <w:rFonts w:hint="default" w:ascii="Arial" w:hAnsi="Arial" w:cs="Arial"/>
      <w:color w:val="000000"/>
      <w:sz w:val="22"/>
      <w:szCs w:val="22"/>
      <w:u w:val="none"/>
    </w:rPr>
  </w:style>
  <w:style w:type="character" w:customStyle="1" w:styleId="13">
    <w:name w:val="font11"/>
    <w:basedOn w:val="9"/>
    <w:autoRedefine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  <w:style w:type="character" w:customStyle="1" w:styleId="14">
    <w:name w:val="标题 1 Char"/>
    <w:link w:val="2"/>
    <w:autoRedefine/>
    <w:qFormat/>
    <w:uiPriority w:val="0"/>
    <w:rPr>
      <w:rFonts w:eastAsia="等线"/>
      <w:b/>
      <w:kern w:val="44"/>
      <w:sz w:val="32"/>
    </w:rPr>
  </w:style>
  <w:style w:type="paragraph" w:customStyle="1" w:styleId="15">
    <w:name w:val="Table Text"/>
    <w:basedOn w:val="1"/>
    <w:autoRedefine/>
    <w:semiHidden/>
    <w:qFormat/>
    <w:uiPriority w:val="0"/>
    <w:rPr>
      <w:rFonts w:ascii="微软雅黑" w:hAnsi="微软雅黑" w:eastAsia="微软雅黑" w:cs="微软雅黑"/>
      <w:sz w:val="18"/>
      <w:szCs w:val="18"/>
      <w:lang w:val="en-US" w:eastAsia="en-US" w:bidi="ar-SA"/>
    </w:rPr>
  </w:style>
  <w:style w:type="table" w:customStyle="1" w:styleId="16">
    <w:name w:val="Table Normal"/>
    <w:autoRedefine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hart" Target="charts/chart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oleObject" Target="file:///D:\&#33487;&#24030;&#26684;&#38160;&#24605;&#29983;&#29289;&#31185;&#25216;&#26377;&#38480;&#20844;&#21496;\&#26368;&#26032;&#35828;&#26126;&#20070;-&#32534;&#20889;\ASA-GSH&#24490;&#29615;&#31995;&#21015;\&#36824;&#21407;&#22411;&#35895;&#33009;&#29976;&#32957;&#65288;GSH&#65289;\&#36824;&#21407;&#22411;&#35895;&#33009;&#29976;&#32957;\&#36824;&#21407;&#22411;&#35895;&#33009;&#29976;&#32957;&#26631;&#26354;-&#39564;&#35777;&#26102;&#34917;&#27979;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7200062320977"/>
          <c:y val="0.0514005540974045"/>
          <c:w val="0.779860496889944"/>
          <c:h val="0.744656605424322"/>
        </c:manualLayout>
      </c:layout>
      <c:scatterChart>
        <c:scatterStyle val="lineMarker"/>
        <c:varyColors val="0"/>
        <c:ser>
          <c:idx val="0"/>
          <c:order val="0"/>
          <c:spPr>
            <a:ln w="28575" cap="rnd" cmpd="sng" algn="ctr">
              <a:noFill/>
              <a:prstDash val="solid"/>
              <a:round/>
            </a:ln>
          </c:spPr>
          <c:dLbls>
            <c:delete val="1"/>
          </c:dLbls>
          <c:trendline>
            <c:spPr>
              <a:ln w="19050" cap="rnd" cmpd="sng" algn="ctr">
                <a:solidFill>
                  <a:schemeClr val="tx1"/>
                </a:solidFill>
                <a:prstDash val="solid"/>
                <a:round/>
              </a:ln>
            </c:spPr>
            <c:trendlineType val="linear"/>
            <c:dispRSqr val="1"/>
            <c:dispEq val="1"/>
            <c:trendlineLbl>
              <c:layout>
                <c:manualLayout>
                  <c:x val="-0.0721128009683721"/>
                  <c:y val="-0.00339931466899971"/>
                </c:manualLayout>
              </c:layout>
              <c:tx>
                <c:rich>
                  <a:bodyPr rot="0" spcFirstLastPara="0" vertOverflow="ellipsis" vert="horz" wrap="square" anchor="ctr" anchorCtr="1"/>
                  <a:lstStyle/>
                  <a:p>
                    <a:pPr>
                      <a:defRPr lang="zh-CN" sz="1000" b="0" i="0" u="none" strike="noStrike" kern="1200" baseline="0">
                        <a:solidFill>
                          <a:schemeClr val="tx1"/>
                        </a:solidFill>
                        <a:latin typeface="+mn-lt"/>
                        <a:ea typeface="+mn-ea"/>
                        <a:cs typeface="+mn-cs"/>
                      </a:defRPr>
                    </a:pPr>
                    <a:r>
                      <a:rPr lang="en-US" altLang="en-US" b="1" baseline="0"/>
                      <a:t>y = 0.9676x + 0.006
R² = 0.9996</a:t>
                    </a:r>
                    <a:endParaRPr lang="en-US" altLang="en-US" b="1"/>
                  </a:p>
                </c:rich>
              </c:tx>
              <c:numFmt formatCode="General" sourceLinked="0"/>
              <c:txPr>
                <a:bodyPr rot="0" spcFirstLastPara="0" vertOverflow="ellipsis" vert="horz" wrap="square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tx1"/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</c:trendlineLbl>
          </c:trendline>
          <c:xVal>
            <c:numRef>
              <c:f>Sheet1!$B$20:$B$25</c:f>
              <c:numCache>
                <c:formatCode>General</c:formatCode>
                <c:ptCount val="6"/>
                <c:pt idx="0">
                  <c:v>0</c:v>
                </c:pt>
                <c:pt idx="1">
                  <c:v>0.2</c:v>
                </c:pt>
                <c:pt idx="2">
                  <c:v>0.4</c:v>
                </c:pt>
                <c:pt idx="3">
                  <c:v>0.6</c:v>
                </c:pt>
                <c:pt idx="4">
                  <c:v>0.8</c:v>
                </c:pt>
                <c:pt idx="5">
                  <c:v>1</c:v>
                </c:pt>
              </c:numCache>
            </c:numRef>
          </c:xVal>
          <c:yVal>
            <c:numRef>
              <c:f>Sheet1!$C$20:$C$25</c:f>
              <c:numCache>
                <c:formatCode>General</c:formatCode>
                <c:ptCount val="6"/>
                <c:pt idx="0">
                  <c:v>0</c:v>
                </c:pt>
                <c:pt idx="1">
                  <c:v>0.2096</c:v>
                </c:pt>
                <c:pt idx="2">
                  <c:v>0.3946</c:v>
                </c:pt>
                <c:pt idx="3">
                  <c:v>0.583</c:v>
                </c:pt>
                <c:pt idx="4">
                  <c:v>0.7728</c:v>
                </c:pt>
                <c:pt idx="5">
                  <c:v>0.9791</c:v>
                </c:pt>
              </c:numCache>
            </c:numRef>
          </c:yVal>
          <c:smooth val="1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222505216"/>
        <c:axId val="222130176"/>
      </c:scatterChart>
      <c:valAx>
        <c:axId val="222505216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ln w="19050" cap="flat" cmpd="sng" algn="ctr">
            <a:solidFill>
              <a:sysClr val="windowText" lastClr="000000"/>
            </a:solidFill>
            <a:prstDash val="solid"/>
            <a:round/>
          </a:ln>
        </c:spPr>
        <c:txPr>
          <a:bodyPr rot="-60000000" spcFirstLastPara="0" vertOverflow="ellipsis" vert="horz" wrap="square" anchor="ctr" anchorCtr="1"/>
          <a:lstStyle/>
          <a:p>
            <a:pPr>
              <a:defRPr lang="zh-CN" sz="1000" b="1" i="0" u="none" strike="noStrike" kern="1200" baseline="0">
                <a:solidFill>
                  <a:schemeClr val="tx1"/>
                </a:solidFill>
                <a:latin typeface="+mn-lt"/>
                <a:ea typeface="+mn-ea"/>
                <a:cs typeface="+mn-cs"/>
              </a:defRPr>
            </a:pPr>
          </a:p>
        </c:txPr>
        <c:crossAx val="222130176"/>
        <c:crosses val="autoZero"/>
        <c:crossBetween val="midCat"/>
      </c:valAx>
      <c:valAx>
        <c:axId val="222130176"/>
        <c:scaling>
          <c:orientation val="minMax"/>
        </c:scaling>
        <c:delete val="0"/>
        <c:axPos val="l"/>
        <c:numFmt formatCode="General" sourceLinked="1"/>
        <c:majorTickMark val="out"/>
        <c:minorTickMark val="none"/>
        <c:tickLblPos val="nextTo"/>
        <c:spPr>
          <a:ln w="19050" cap="flat" cmpd="sng" algn="ctr">
            <a:solidFill>
              <a:sysClr val="windowText" lastClr="000000"/>
            </a:solidFill>
            <a:prstDash val="solid"/>
            <a:round/>
          </a:ln>
        </c:spPr>
        <c:txPr>
          <a:bodyPr rot="-60000000" spcFirstLastPara="0" vertOverflow="ellipsis" vert="horz" wrap="square" anchor="ctr" anchorCtr="1"/>
          <a:lstStyle/>
          <a:p>
            <a:pPr>
              <a:defRPr lang="zh-CN" sz="1000" b="1" i="0" u="none" strike="noStrike" kern="1200" baseline="0">
                <a:solidFill>
                  <a:schemeClr val="tx1"/>
                </a:solidFill>
                <a:latin typeface="+mn-lt"/>
                <a:ea typeface="+mn-ea"/>
                <a:cs typeface="+mn-cs"/>
              </a:defRPr>
            </a:pPr>
          </a:p>
        </c:txPr>
        <c:crossAx val="222505216"/>
        <c:crosses val="autoZero"/>
        <c:crossBetween val="midCat"/>
      </c:valAx>
    </c:plotArea>
    <c:plotVisOnly val="1"/>
    <c:dispBlanksAs val="gap"/>
    <c:showDLblsOverMax val="0"/>
    <c:extLst>
      <c:ext uri="{0b15fc19-7d7d-44ad-8c2d-2c3a37ce22c3}">
        <chartProps xmlns="https://web.wps.cn/et/2018/main" chartId="{5c2acabb-24f9-4855-8008-b229ff21f802}"/>
      </c:ext>
    </c:extLst>
  </c:chart>
  <c:spPr>
    <a:ln w="6350" cap="flat" cmpd="sng" algn="ctr">
      <a:noFill/>
      <a:prstDash val="solid"/>
      <a:round/>
    </a:ln>
  </c:spPr>
  <c:txPr>
    <a:bodyPr/>
    <a:lstStyle/>
    <a:p>
      <a:pPr>
        <a:defRPr lang="zh-CN"/>
      </a:pPr>
    </a:p>
  </c:txPr>
  <c:externalData r:id="rId1">
    <c:autoUpdate val="0"/>
  </c:externalData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0.42708</cdr:x>
      <cdr:y>0.89583</cdr:y>
    </cdr:from>
    <cdr:to>
      <cdr:x>0.70625</cdr:x>
      <cdr:y>1</cdr:y>
    </cdr:to>
    <cdr:sp>
      <cdr:nvSpPr>
        <cdr:cNvPr id="2" name="矩形 1"/>
        <cdr:cNvSpPr/>
      </cdr:nvSpPr>
      <cdr:spPr xmlns:a="http://schemas.openxmlformats.org/drawingml/2006/main">
        <a:xfrm xmlns:a="http://schemas.openxmlformats.org/drawingml/2006/main">
          <a:off x="1952625" y="2552700"/>
          <a:ext cx="1276359" cy="285759"/>
        </a:xfrm>
        <a:prstGeom xmlns:a="http://schemas.openxmlformats.org/drawingml/2006/main" prst="rect">
          <a:avLst/>
        </a:prstGeom>
      </cdr:spPr>
      <cdr:txBody xmlns:a="http://schemas.openxmlformats.org/drawingml/2006/main">
        <a:bodyPr vert="horz" wrap="square" lIns="45720" tIns="45720" rIns="45720" bIns="45720" rtlCol="0" anchor="t" anchorCtr="0">
          <a:normAutofit/>
        </a:bodyPr>
        <a:lstStyle>
          <a:lvl1pPr marL="0" indent="0">
            <a:defRPr sz="1100">
              <a:latin typeface="Calibri" panose="020F0502020204030204"/>
            </a:defRPr>
          </a:lvl1pPr>
          <a:lvl2pPr marL="457200" indent="0">
            <a:defRPr sz="1100">
              <a:latin typeface="Calibri" panose="020F0502020204030204"/>
            </a:defRPr>
          </a:lvl2pPr>
          <a:lvl3pPr marL="914400" indent="0">
            <a:defRPr sz="1100">
              <a:latin typeface="Calibri" panose="020F0502020204030204"/>
            </a:defRPr>
          </a:lvl3pPr>
          <a:lvl4pPr marL="1371600" indent="0">
            <a:defRPr sz="1100">
              <a:latin typeface="Calibri" panose="020F0502020204030204"/>
            </a:defRPr>
          </a:lvl4pPr>
          <a:lvl5pPr marL="1828800" indent="0">
            <a:defRPr sz="1100">
              <a:latin typeface="Calibri" panose="020F0502020204030204"/>
            </a:defRPr>
          </a:lvl5pPr>
          <a:lvl6pPr marL="2286000" indent="0">
            <a:defRPr sz="1100">
              <a:latin typeface="Calibri" panose="020F0502020204030204"/>
            </a:defRPr>
          </a:lvl6pPr>
          <a:lvl7pPr marL="2743200" indent="0">
            <a:defRPr sz="1100">
              <a:latin typeface="Calibri" panose="020F0502020204030204"/>
            </a:defRPr>
          </a:lvl7pPr>
          <a:lvl8pPr marL="3200400" indent="0">
            <a:defRPr sz="1100">
              <a:latin typeface="Calibri" panose="020F0502020204030204"/>
            </a:defRPr>
          </a:lvl8pPr>
          <a:lvl9pPr marL="3657600" indent="0">
            <a:defRPr sz="1100">
              <a:latin typeface="Calibri" panose="020F0502020204030204"/>
            </a:defRPr>
          </a:lvl9pPr>
        </a:lstStyle>
        <a:p>
          <a:r>
            <a:rPr lang="en-US" altLang="zh-CN" sz="1100" b="1"/>
            <a:t>GSH (</a:t>
          </a:r>
          <a:r>
            <a:rPr lang="en-US" altLang="zh-CN" sz="1100" b="1">
              <a:latin typeface="Calibri" panose="020F0502020204030204"/>
              <a:ea typeface="宋体" panose="02010600030101010101" charset="-122"/>
            </a:rPr>
            <a:t>μmol/mL)</a:t>
          </a:r>
          <a:endParaRPr lang="zh-CN" altLang="en-US" sz="1100" b="1"/>
        </a:p>
      </cdr:txBody>
    </cdr:sp>
  </cdr:relSizeAnchor>
  <cdr:relSizeAnchor xmlns:cdr="http://schemas.openxmlformats.org/drawingml/2006/chartDrawing">
    <cdr:from>
      <cdr:x>0.00913</cdr:x>
      <cdr:y>0.22917</cdr:y>
    </cdr:from>
    <cdr:to>
      <cdr:x>0.09455</cdr:x>
      <cdr:y>0.56945</cdr:y>
    </cdr:to>
    <cdr:sp>
      <cdr:nvSpPr>
        <cdr:cNvPr id="3" name="矩形 2"/>
        <cdr:cNvSpPr/>
      </cdr:nvSpPr>
      <cdr:spPr xmlns:a="http://schemas.openxmlformats.org/drawingml/2006/main">
        <a:xfrm xmlns:a="http://schemas.openxmlformats.org/drawingml/2006/main" rot="10800000">
          <a:off x="38100" y="628650"/>
          <a:ext cx="356361" cy="933456"/>
        </a:xfrm>
        <a:prstGeom xmlns:a="http://schemas.openxmlformats.org/drawingml/2006/main" prst="rect">
          <a:avLst/>
        </a:prstGeom>
      </cdr:spPr>
      <cdr:txBody xmlns:a="http://schemas.openxmlformats.org/drawingml/2006/main">
        <a:bodyPr vert="eaVert" wrap="square" lIns="45720" tIns="45720" rIns="45720" bIns="45720" rtlCol="0" anchor="t" anchorCtr="0">
          <a:normAutofit/>
        </a:bodyPr>
        <a:lstStyle>
          <a:lvl1pPr marL="0" indent="0">
            <a:defRPr sz="1100">
              <a:latin typeface="Calibri" panose="020F0502020204030204"/>
            </a:defRPr>
          </a:lvl1pPr>
          <a:lvl2pPr marL="457200" indent="0">
            <a:defRPr sz="1100">
              <a:latin typeface="Calibri" panose="020F0502020204030204"/>
            </a:defRPr>
          </a:lvl2pPr>
          <a:lvl3pPr marL="914400" indent="0">
            <a:defRPr sz="1100">
              <a:latin typeface="Calibri" panose="020F0502020204030204"/>
            </a:defRPr>
          </a:lvl3pPr>
          <a:lvl4pPr marL="1371600" indent="0">
            <a:defRPr sz="1100">
              <a:latin typeface="Calibri" panose="020F0502020204030204"/>
            </a:defRPr>
          </a:lvl4pPr>
          <a:lvl5pPr marL="1828800" indent="0">
            <a:defRPr sz="1100">
              <a:latin typeface="Calibri" panose="020F0502020204030204"/>
            </a:defRPr>
          </a:lvl5pPr>
          <a:lvl6pPr marL="2286000" indent="0">
            <a:defRPr sz="1100">
              <a:latin typeface="Calibri" panose="020F0502020204030204"/>
            </a:defRPr>
          </a:lvl6pPr>
          <a:lvl7pPr marL="2743200" indent="0">
            <a:defRPr sz="1100">
              <a:latin typeface="Calibri" panose="020F0502020204030204"/>
            </a:defRPr>
          </a:lvl7pPr>
          <a:lvl8pPr marL="3200400" indent="0">
            <a:defRPr sz="1100">
              <a:latin typeface="Calibri" panose="020F0502020204030204"/>
            </a:defRPr>
          </a:lvl8pPr>
          <a:lvl9pPr marL="3657600" indent="0">
            <a:defRPr sz="1100">
              <a:latin typeface="Calibri" panose="020F0502020204030204"/>
            </a:defRPr>
          </a:lvl9pPr>
        </a:lstStyle>
        <a:p>
          <a:r>
            <a:rPr lang="en-US" altLang="zh-CN" sz="1200" b="1"/>
            <a:t>OD 412nm</a:t>
          </a:r>
          <a:endParaRPr lang="zh-CN" altLang="en-US" sz="1200" b="1"/>
        </a:p>
      </cdr:txBody>
    </cdr:sp>
  </cdr:relSizeAnchor>
</c:userShape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1183</Words>
  <Characters>1689</Characters>
  <Lines>0</Lines>
  <Paragraphs>0</Paragraphs>
  <TotalTime>1</TotalTime>
  <ScaleCrop>false</ScaleCrop>
  <LinksUpToDate>false</LinksUpToDate>
  <CharactersWithSpaces>1763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上海西酶生物科技有限公司</dc:creator>
  <cp:lastModifiedBy>赣榆</cp:lastModifiedBy>
  <cp:revision>1</cp:revision>
  <dcterms:created xsi:type="dcterms:W3CDTF">2019-10-22T05:53:00Z</dcterms:created>
  <dcterms:modified xsi:type="dcterms:W3CDTF">2025-03-05T03:15:14Z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6065F62874B549778963DA99D6558C72_13</vt:lpwstr>
  </property>
  <property fmtid="{D5CDD505-2E9C-101B-9397-08002B2CF9AE}" pid="4" name="KSOTemplateDocerSaveRecord">
    <vt:lpwstr>eyJoZGlkIjoiZjE5ZDE4ZmFlMWZiYWJkODcwYmQ1ZTEwODgyZjhlZTYiLCJ1c2VySWQiOiIxMjk0MjQxMzczIn0=</vt:lpwstr>
  </property>
</Properties>
</file>